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第2.7.3項 臨床的有効性の概要</w:t>
      </w:r>
    </w:p>
    <w:p>
      <w:r>
        <w:rPr>
          <w:sz w:val="22"/>
        </w:rPr>
        <w:t>本項では、DBX-101 (開発コード) の臨床開発プログラムにおいて実施された主要な有効性試験の結果を要約する。本要約は、ICH M4E (R2) Common Technical Document ガイドラインに基づいて作成されている。</w:t>
      </w:r>
    </w:p>
    <w:p>
      <w:pPr>
        <w:pStyle w:val="Heading1"/>
      </w:pPr>
      <w:r>
        <w:t>1. 有効性試験の概要</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vAlign w:val="center"/>
          </w:tcPr>
          <w:p>
            <w:r>
              <w:rPr>
                <w:b/>
                <w:sz w:val="20"/>
              </w:rPr>
              <w:t>試験番号</w:t>
            </w:r>
          </w:p>
        </w:tc>
        <w:tc>
          <w:tcPr>
            <w:tcW w:type="dxa" w:w="1440"/>
            <w:shd w:val="clear" w:color="auto" w:fill="D9E2F3"/>
            <w:vAlign w:val="center"/>
          </w:tcPr>
          <w:p>
            <w:r>
              <w:rPr>
                <w:b/>
                <w:sz w:val="20"/>
              </w:rPr>
              <w:t>相</w:t>
            </w:r>
          </w:p>
        </w:tc>
        <w:tc>
          <w:tcPr>
            <w:tcW w:type="dxa" w:w="1440"/>
            <w:shd w:val="clear" w:color="auto" w:fill="D9E2F3"/>
            <w:vAlign w:val="center"/>
          </w:tcPr>
          <w:p>
            <w:r>
              <w:rPr>
                <w:b/>
                <w:sz w:val="20"/>
              </w:rPr>
              <w:t>デザイン</w:t>
            </w:r>
          </w:p>
        </w:tc>
        <w:tc>
          <w:tcPr>
            <w:tcW w:type="dxa" w:w="1440"/>
            <w:shd w:val="clear" w:color="auto" w:fill="D9E2F3"/>
            <w:vAlign w:val="center"/>
          </w:tcPr>
          <w:p>
            <w:r>
              <w:rPr>
                <w:b/>
                <w:sz w:val="20"/>
              </w:rPr>
              <w:t>対象疾患</w:t>
            </w:r>
          </w:p>
        </w:tc>
        <w:tc>
          <w:tcPr>
            <w:tcW w:type="dxa" w:w="1440"/>
            <w:shd w:val="clear" w:color="auto" w:fill="D9E2F3"/>
            <w:vAlign w:val="center"/>
          </w:tcPr>
          <w:p>
            <w:r>
              <w:rPr>
                <w:b/>
                <w:sz w:val="20"/>
              </w:rPr>
              <w:t>登録症例数</w:t>
            </w:r>
          </w:p>
        </w:tc>
        <w:tc>
          <w:tcPr>
            <w:tcW w:type="dxa" w:w="1440"/>
            <w:shd w:val="clear" w:color="auto" w:fill="D9E2F3"/>
            <w:vAlign w:val="center"/>
          </w:tcPr>
          <w:p>
            <w:r>
              <w:rPr>
                <w:b/>
                <w:sz w:val="20"/>
              </w:rPr>
              <w:t>主要評価項目</w:t>
            </w:r>
          </w:p>
        </w:tc>
      </w:tr>
      <w:tr>
        <w:tc>
          <w:tcPr>
            <w:tcW w:type="dxa" w:w="1440"/>
            <w:vAlign w:val="center"/>
          </w:tcPr>
          <w:p>
            <w:r>
              <w:rPr>
                <w:sz w:val="20"/>
              </w:rPr>
              <w:t>DBX101-JP-001</w:t>
            </w:r>
          </w:p>
        </w:tc>
        <w:tc>
          <w:tcPr>
            <w:tcW w:type="dxa" w:w="1440"/>
            <w:vAlign w:val="center"/>
          </w:tcPr>
          <w:p>
            <w:r>
              <w:rPr>
                <w:sz w:val="20"/>
              </w:rPr>
              <w:t>第I相</w:t>
            </w:r>
          </w:p>
        </w:tc>
        <w:tc>
          <w:tcPr>
            <w:tcW w:type="dxa" w:w="1440"/>
            <w:vAlign w:val="center"/>
          </w:tcPr>
          <w:p>
            <w:r>
              <w:rPr>
                <w:sz w:val="20"/>
              </w:rPr>
              <w:t>非盲検 用量漸増</w:t>
            </w:r>
          </w:p>
        </w:tc>
        <w:tc>
          <w:tcPr>
            <w:tcW w:type="dxa" w:w="1440"/>
            <w:vAlign w:val="center"/>
          </w:tcPr>
          <w:p>
            <w:r>
              <w:rPr>
                <w:sz w:val="20"/>
              </w:rPr>
              <w:t>進行固形癌</w:t>
            </w:r>
          </w:p>
        </w:tc>
        <w:tc>
          <w:tcPr>
            <w:tcW w:type="dxa" w:w="1440"/>
            <w:vAlign w:val="center"/>
          </w:tcPr>
          <w:p>
            <w:r>
              <w:rPr>
                <w:sz w:val="20"/>
              </w:rPr>
              <w:t>18</w:t>
            </w:r>
          </w:p>
        </w:tc>
        <w:tc>
          <w:tcPr>
            <w:tcW w:type="dxa" w:w="1440"/>
            <w:vAlign w:val="center"/>
          </w:tcPr>
          <w:p>
            <w:r>
              <w:rPr>
                <w:sz w:val="20"/>
              </w:rPr>
              <w:t>最大耐用量</w:t>
            </w:r>
          </w:p>
        </w:tc>
      </w:tr>
      <w:tr>
        <w:tc>
          <w:tcPr>
            <w:tcW w:type="dxa" w:w="1440"/>
            <w:vAlign w:val="center"/>
          </w:tcPr>
          <w:p>
            <w:r>
              <w:rPr>
                <w:sz w:val="20"/>
              </w:rPr>
              <w:t>DBX101-JP-002</w:t>
            </w:r>
          </w:p>
        </w:tc>
        <w:tc>
          <w:tcPr>
            <w:tcW w:type="dxa" w:w="1440"/>
            <w:vAlign w:val="center"/>
          </w:tcPr>
          <w:p>
            <w:r>
              <w:rPr>
                <w:sz w:val="20"/>
              </w:rPr>
              <w:t>第II相</w:t>
            </w:r>
          </w:p>
        </w:tc>
        <w:tc>
          <w:tcPr>
            <w:tcW w:type="dxa" w:w="1440"/>
            <w:vAlign w:val="center"/>
          </w:tcPr>
          <w:p>
            <w:r>
              <w:rPr>
                <w:sz w:val="20"/>
              </w:rPr>
              <w:t>無作為化 二重盲検 比較</w:t>
            </w:r>
          </w:p>
        </w:tc>
        <w:tc>
          <w:tcPr>
            <w:tcW w:type="dxa" w:w="1440"/>
            <w:vAlign w:val="center"/>
          </w:tcPr>
          <w:p>
            <w:r>
              <w:rPr>
                <w:sz w:val="20"/>
              </w:rPr>
              <w:t>対象疾患</w:t>
            </w:r>
          </w:p>
        </w:tc>
        <w:tc>
          <w:tcPr>
            <w:tcW w:type="dxa" w:w="1440"/>
            <w:vAlign w:val="center"/>
          </w:tcPr>
          <w:p>
            <w:r>
              <w:rPr>
                <w:sz w:val="20"/>
              </w:rPr>
              <w:t>180</w:t>
            </w:r>
          </w:p>
        </w:tc>
        <w:tc>
          <w:tcPr>
            <w:tcW w:type="dxa" w:w="1440"/>
            <w:vAlign w:val="center"/>
          </w:tcPr>
          <w:p>
            <w:r>
              <w:rPr>
                <w:sz w:val="20"/>
              </w:rPr>
              <w:t>無増悪生存期間</w:t>
            </w:r>
          </w:p>
        </w:tc>
      </w:tr>
      <w:tr>
        <w:tc>
          <w:tcPr>
            <w:tcW w:type="dxa" w:w="1440"/>
            <w:vAlign w:val="center"/>
          </w:tcPr>
          <w:p>
            <w:r>
              <w:rPr>
                <w:sz w:val="20"/>
              </w:rPr>
              <w:t>DBX101-GLB-003</w:t>
            </w:r>
          </w:p>
        </w:tc>
        <w:tc>
          <w:tcPr>
            <w:tcW w:type="dxa" w:w="1440"/>
            <w:vAlign w:val="center"/>
          </w:tcPr>
          <w:p>
            <w:r>
              <w:rPr>
                <w:sz w:val="20"/>
              </w:rPr>
              <w:t>第II相</w:t>
            </w:r>
          </w:p>
        </w:tc>
        <w:tc>
          <w:tcPr>
            <w:tcW w:type="dxa" w:w="1440"/>
            <w:vAlign w:val="center"/>
          </w:tcPr>
          <w:p>
            <w:r>
              <w:rPr>
                <w:sz w:val="20"/>
              </w:rPr>
              <w:t>非盲検 単群</w:t>
            </w:r>
          </w:p>
        </w:tc>
        <w:tc>
          <w:tcPr>
            <w:tcW w:type="dxa" w:w="1440"/>
            <w:vAlign w:val="center"/>
          </w:tcPr>
          <w:p>
            <w:r>
              <w:rPr>
                <w:sz w:val="20"/>
              </w:rPr>
              <w:t>対象疾患サブタイプ</w:t>
            </w:r>
          </w:p>
        </w:tc>
        <w:tc>
          <w:tcPr>
            <w:tcW w:type="dxa" w:w="1440"/>
            <w:vAlign w:val="center"/>
          </w:tcPr>
          <w:p>
            <w:r>
              <w:rPr>
                <w:sz w:val="20"/>
              </w:rPr>
              <w:t>45</w:t>
            </w:r>
          </w:p>
        </w:tc>
        <w:tc>
          <w:tcPr>
            <w:tcW w:type="dxa" w:w="1440"/>
            <w:vAlign w:val="center"/>
          </w:tcPr>
          <w:p>
            <w:r>
              <w:rPr>
                <w:sz w:val="20"/>
              </w:rPr>
              <w:t>客観的奏効率</w:t>
            </w:r>
          </w:p>
        </w:tc>
      </w:tr>
    </w:tbl>
    <w:p/>
    <w:p>
      <w:pPr>
        <w:pStyle w:val="Heading1"/>
      </w:pPr>
      <w:r>
        <w:t>2. 主要有効性結果</w:t>
      </w:r>
    </w:p>
    <w:p>
      <w:r>
        <w:rPr>
          <w:sz w:val="22"/>
        </w:rPr>
        <w:t>第II相比較試験 (DBX101-JP-002) において、主要評価項目である無増悪生存期間の中央値は、DBX-101高用量群で10.4か月 (95%CI: 8.6-12.1)、対照群で6.5か月 (95%CI: 5.2-7.8) であり、ハザード比 0.68 (95%CI: 0.55-0.84, 片側 p=0.0004) と統計学的に有意な延長が認められた。</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vAlign w:val="center"/>
          </w:tcPr>
          <w:p>
            <w:r>
              <w:rPr>
                <w:b/>
                <w:sz w:val="20"/>
              </w:rPr>
              <w:t>エンドポイント</w:t>
            </w:r>
          </w:p>
        </w:tc>
        <w:tc>
          <w:tcPr>
            <w:tcW w:type="dxa" w:w="1440"/>
            <w:shd w:val="clear" w:color="auto" w:fill="D9E2F3"/>
            <w:vAlign w:val="center"/>
          </w:tcPr>
          <w:p>
            <w:r>
              <w:rPr>
                <w:b/>
                <w:sz w:val="20"/>
              </w:rPr>
              <w:t>DBX-101 100 mg</w:t>
            </w:r>
          </w:p>
        </w:tc>
        <w:tc>
          <w:tcPr>
            <w:tcW w:type="dxa" w:w="1440"/>
            <w:shd w:val="clear" w:color="auto" w:fill="D9E2F3"/>
            <w:vAlign w:val="center"/>
          </w:tcPr>
          <w:p>
            <w:r>
              <w:rPr>
                <w:b/>
                <w:sz w:val="20"/>
              </w:rPr>
              <w:t>DBX-101 200 mg</w:t>
            </w:r>
          </w:p>
        </w:tc>
        <w:tc>
          <w:tcPr>
            <w:tcW w:type="dxa" w:w="1440"/>
            <w:shd w:val="clear" w:color="auto" w:fill="D9E2F3"/>
            <w:vAlign w:val="center"/>
          </w:tcPr>
          <w:p>
            <w:r>
              <w:rPr>
                <w:b/>
                <w:sz w:val="20"/>
              </w:rPr>
              <w:t>対照群</w:t>
            </w:r>
          </w:p>
        </w:tc>
        <w:tc>
          <w:tcPr>
            <w:tcW w:type="dxa" w:w="1440"/>
            <w:shd w:val="clear" w:color="auto" w:fill="D9E2F3"/>
            <w:vAlign w:val="center"/>
          </w:tcPr>
          <w:p>
            <w:r>
              <w:rPr>
                <w:b/>
                <w:sz w:val="20"/>
              </w:rPr>
              <w:t>HR (95%CI)</w:t>
            </w:r>
          </w:p>
        </w:tc>
        <w:tc>
          <w:tcPr>
            <w:tcW w:type="dxa" w:w="1440"/>
            <w:shd w:val="clear" w:color="auto" w:fill="D9E2F3"/>
            <w:vAlign w:val="center"/>
          </w:tcPr>
          <w:p>
            <w:r>
              <w:rPr>
                <w:b/>
                <w:sz w:val="20"/>
              </w:rPr>
              <w:t>p値</w:t>
            </w:r>
          </w:p>
        </w:tc>
      </w:tr>
      <w:tr>
        <w:tc>
          <w:tcPr>
            <w:tcW w:type="dxa" w:w="1440"/>
            <w:vAlign w:val="center"/>
          </w:tcPr>
          <w:p>
            <w:r>
              <w:rPr>
                <w:sz w:val="20"/>
              </w:rPr>
              <w:t>PFS 中央値 (月)</w:t>
            </w:r>
          </w:p>
        </w:tc>
        <w:tc>
          <w:tcPr>
            <w:tcW w:type="dxa" w:w="1440"/>
            <w:vAlign w:val="center"/>
          </w:tcPr>
          <w:p>
            <w:r>
              <w:rPr>
                <w:sz w:val="20"/>
              </w:rPr>
              <w:t>8.2 (6.9-9.8)</w:t>
            </w:r>
          </w:p>
        </w:tc>
        <w:tc>
          <w:tcPr>
            <w:tcW w:type="dxa" w:w="1440"/>
            <w:vAlign w:val="center"/>
          </w:tcPr>
          <w:p>
            <w:r>
              <w:rPr>
                <w:sz w:val="20"/>
              </w:rPr>
              <w:t>10.4 (8.6-12.1)</w:t>
            </w:r>
          </w:p>
        </w:tc>
        <w:tc>
          <w:tcPr>
            <w:tcW w:type="dxa" w:w="1440"/>
            <w:vAlign w:val="center"/>
          </w:tcPr>
          <w:p>
            <w:r>
              <w:rPr>
                <w:sz w:val="20"/>
              </w:rPr>
              <w:t>6.5 (5.2-7.8)</w:t>
            </w:r>
          </w:p>
        </w:tc>
        <w:tc>
          <w:tcPr>
            <w:tcW w:type="dxa" w:w="1440"/>
            <w:vAlign w:val="center"/>
          </w:tcPr>
          <w:p>
            <w:r>
              <w:rPr>
                <w:sz w:val="20"/>
              </w:rPr>
              <w:t>0.68 (0.55-0.84)</w:t>
            </w:r>
          </w:p>
        </w:tc>
        <w:tc>
          <w:tcPr>
            <w:tcW w:type="dxa" w:w="1440"/>
            <w:vAlign w:val="center"/>
          </w:tcPr>
          <w:p>
            <w:r>
              <w:rPr>
                <w:sz w:val="20"/>
              </w:rPr>
              <w:t>0.0004</w:t>
            </w:r>
          </w:p>
        </w:tc>
      </w:tr>
      <w:tr>
        <w:tc>
          <w:tcPr>
            <w:tcW w:type="dxa" w:w="1440"/>
            <w:vAlign w:val="center"/>
          </w:tcPr>
          <w:p>
            <w:r>
              <w:rPr>
                <w:sz w:val="20"/>
              </w:rPr>
              <w:t>OS 中央値 (月)</w:t>
            </w:r>
          </w:p>
        </w:tc>
        <w:tc>
          <w:tcPr>
            <w:tcW w:type="dxa" w:w="1440"/>
            <w:vAlign w:val="center"/>
          </w:tcPr>
          <w:p>
            <w:r>
              <w:rPr>
                <w:sz w:val="20"/>
              </w:rPr>
              <w:t>18.3 (15.1-22.0)</w:t>
            </w:r>
          </w:p>
        </w:tc>
        <w:tc>
          <w:tcPr>
            <w:tcW w:type="dxa" w:w="1440"/>
            <w:vAlign w:val="center"/>
          </w:tcPr>
          <w:p>
            <w:r>
              <w:rPr>
                <w:sz w:val="20"/>
              </w:rPr>
              <w:t>21.7 (18.2-25.9)</w:t>
            </w:r>
          </w:p>
        </w:tc>
        <w:tc>
          <w:tcPr>
            <w:tcW w:type="dxa" w:w="1440"/>
            <w:vAlign w:val="center"/>
          </w:tcPr>
          <w:p>
            <w:r>
              <w:rPr>
                <w:sz w:val="20"/>
              </w:rPr>
              <w:t>16.1 (13.4-19.2)</w:t>
            </w:r>
          </w:p>
        </w:tc>
        <w:tc>
          <w:tcPr>
            <w:tcW w:type="dxa" w:w="1440"/>
            <w:vAlign w:val="center"/>
          </w:tcPr>
          <w:p>
            <w:r>
              <w:rPr>
                <w:sz w:val="20"/>
              </w:rPr>
              <w:t>0.79 (0.61-1.02)</w:t>
            </w:r>
          </w:p>
        </w:tc>
        <w:tc>
          <w:tcPr>
            <w:tcW w:type="dxa" w:w="1440"/>
            <w:vAlign w:val="center"/>
          </w:tcPr>
          <w:p>
            <w:r>
              <w:rPr>
                <w:sz w:val="20"/>
              </w:rPr>
              <w:t>0.068</w:t>
            </w:r>
          </w:p>
        </w:tc>
      </w:tr>
      <w:tr>
        <w:tc>
          <w:tcPr>
            <w:tcW w:type="dxa" w:w="1440"/>
            <w:vAlign w:val="center"/>
          </w:tcPr>
          <w:p>
            <w:r>
              <w:rPr>
                <w:sz w:val="20"/>
              </w:rPr>
              <w:t>ORR n (%)</w:t>
            </w:r>
          </w:p>
        </w:tc>
        <w:tc>
          <w:tcPr>
            <w:tcW w:type="dxa" w:w="1440"/>
            <w:vAlign w:val="center"/>
          </w:tcPr>
          <w:p>
            <w:r>
              <w:rPr>
                <w:sz w:val="20"/>
              </w:rPr>
              <w:t>22 (36.7)</w:t>
            </w:r>
          </w:p>
        </w:tc>
        <w:tc>
          <w:tcPr>
            <w:tcW w:type="dxa" w:w="1440"/>
            <w:vAlign w:val="center"/>
          </w:tcPr>
          <w:p>
            <w:r>
              <w:rPr>
                <w:sz w:val="20"/>
              </w:rPr>
              <w:t>31 (51.7)</w:t>
            </w:r>
          </w:p>
        </w:tc>
        <w:tc>
          <w:tcPr>
            <w:tcW w:type="dxa" w:w="1440"/>
            <w:vAlign w:val="center"/>
          </w:tcPr>
          <w:p>
            <w:r>
              <w:rPr>
                <w:sz w:val="20"/>
              </w:rPr>
              <w:t>12 (20.0)</w:t>
            </w:r>
          </w:p>
        </w:tc>
        <w:tc>
          <w:tcPr>
            <w:tcW w:type="dxa" w:w="1440"/>
            <w:vAlign w:val="center"/>
          </w:tcPr>
          <w:p>
            <w:r>
              <w:rPr>
                <w:sz w:val="20"/>
              </w:rPr>
              <w:t>N/A</w:t>
            </w:r>
          </w:p>
        </w:tc>
        <w:tc>
          <w:tcPr>
            <w:tcW w:type="dxa" w:w="1440"/>
            <w:vAlign w:val="center"/>
          </w:tcPr>
          <w:p>
            <w:r>
              <w:rPr>
                <w:sz w:val="20"/>
              </w:rPr>
              <w:t>&lt;0.001</w:t>
            </w:r>
          </w:p>
        </w:tc>
      </w:tr>
      <w:tr>
        <w:tc>
          <w:tcPr>
            <w:tcW w:type="dxa" w:w="1440"/>
            <w:vAlign w:val="center"/>
          </w:tcPr>
          <w:p>
            <w:r>
              <w:rPr>
                <w:sz w:val="20"/>
              </w:rPr>
              <w:t>奏効期間 中央値 (月)</w:t>
            </w:r>
          </w:p>
        </w:tc>
        <w:tc>
          <w:tcPr>
            <w:tcW w:type="dxa" w:w="1440"/>
            <w:vAlign w:val="center"/>
          </w:tcPr>
          <w:p>
            <w:r>
              <w:rPr>
                <w:sz w:val="20"/>
              </w:rPr>
              <w:t>7.5 (5.8-9.6)</w:t>
            </w:r>
          </w:p>
        </w:tc>
        <w:tc>
          <w:tcPr>
            <w:tcW w:type="dxa" w:w="1440"/>
            <w:vAlign w:val="center"/>
          </w:tcPr>
          <w:p>
            <w:r>
              <w:rPr>
                <w:sz w:val="20"/>
              </w:rPr>
              <w:t>9.8 (7.2-12.4)</w:t>
            </w:r>
          </w:p>
        </w:tc>
        <w:tc>
          <w:tcPr>
            <w:tcW w:type="dxa" w:w="1440"/>
            <w:vAlign w:val="center"/>
          </w:tcPr>
          <w:p>
            <w:r>
              <w:rPr>
                <w:sz w:val="20"/>
              </w:rPr>
              <w:t>5.2 (3.6-7.1)</w:t>
            </w:r>
          </w:p>
        </w:tc>
        <w:tc>
          <w:tcPr>
            <w:tcW w:type="dxa" w:w="1440"/>
            <w:vAlign w:val="center"/>
          </w:tcPr>
          <w:p>
            <w:r>
              <w:rPr>
                <w:sz w:val="20"/>
              </w:rPr>
              <w:t>N/A</w:t>
            </w:r>
          </w:p>
        </w:tc>
        <w:tc>
          <w:tcPr>
            <w:tcW w:type="dxa" w:w="1440"/>
            <w:vAlign w:val="center"/>
          </w:tcPr>
          <w:p>
            <w:r>
              <w:rPr>
                <w:sz w:val="20"/>
              </w:rPr>
              <w:t>N/A</w:t>
            </w:r>
          </w:p>
        </w:tc>
      </w:tr>
    </w:tbl>
    <w:p/>
    <w:p>
      <w:pPr>
        <w:pStyle w:val="Heading1"/>
      </w:pPr>
      <w:r>
        <w:t>3. 部分集団解析</w:t>
      </w:r>
    </w:p>
    <w:p>
      <w:r>
        <w:rPr>
          <w:sz w:val="22"/>
        </w:rPr>
        <w:t>事前に規定された部分集団において、主要評価項目のハザード比を評価した。全ての部分集団において、DBX-101はPFSを延長する方向性を示した。</w:t>
      </w:r>
    </w:p>
    <w:p>
      <w:r>
        <w:drawing>
          <wp:inline xmlns:a="http://schemas.openxmlformats.org/drawingml/2006/main" xmlns:pic="http://schemas.openxmlformats.org/drawingml/2006/picture">
            <wp:extent cx="5486400" cy="3207434"/>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207434"/>
                    </a:xfrm>
                    <a:prstGeom prst="rect"/>
                  </pic:spPr>
                </pic:pic>
              </a:graphicData>
            </a:graphic>
          </wp:inline>
        </w:drawing>
      </w:r>
    </w:p>
    <w:p>
      <w:pPr>
        <w:jc w:val="center"/>
      </w:pPr>
      <w:r>
        <w:rPr>
          <w:i/>
          <w:color w:val="555555"/>
          <w:sz w:val="18"/>
        </w:rPr>
        <w:t>図3. 部分集団別 主要評価項目 (PFS) ハザード比のフォレストプロット (模擬データ)</w:t>
      </w:r>
    </w:p>
    <w:p>
      <w:pPr>
        <w:pStyle w:val="Heading1"/>
      </w:pPr>
      <w:r>
        <w:t>4. 副次評価項目の考察</w:t>
      </w:r>
    </w:p>
    <w:p>
      <w:r>
        <w:rPr>
          <w:sz w:val="22"/>
        </w:rPr>
        <w:t>全生存期間 (OS) については、DBX-101高用量群で対照群に比して延長傾向が認められたが、本試験のデータカットオフ時点においては統計学的な有意差には至らなかった。追跡調査は継続中であり、更新解析結果は今後の申請資料補完で提出予定である。</w:t>
      </w:r>
    </w:p>
    <w:p>
      <w:pPr>
        <w:pStyle w:val="Heading1"/>
      </w:pPr>
      <w:r>
        <w:t>5. 結論</w:t>
      </w:r>
    </w:p>
    <w:p>
      <w:r>
        <w:rPr>
          <w:sz w:val="22"/>
        </w:rPr>
        <w:t>DBX-101は、対象疾患を有する成人患者において、標準治療と比較して臨床的に意義のある無増悪生存期間の延長を示した。本項に示した有効性データと第2.7.4項の安全性データを総合的に評価し、本剤の臨床的有用性は良好であると結論する。</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Databricks Pharma KK  申請資料  |  ページ </w:t>
    </w:r>
    <w:r>
      <w:rPr>
        <w:sz w:val="18"/>
      </w:rPr>
      <w:fldSimple w:instr="PAGE">
        <w:r>
          <w:t>1</w:t>
        </w:r>
      </w:fldSimpl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Pr>
      <w:t>CTD 第2.7.3項  臨床的有効性の概要  |  DBX-101  |  版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