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478A"/>
          <w:sz w:val="48"/>
        </w:rPr>
        <w:t>金貔貅 Golden Pixiu V1.11</w:t>
      </w:r>
    </w:p>
    <w:p>
      <w:pPr>
        <w:jc w:val="center"/>
      </w:pPr>
      <w:r>
        <w:rPr>
          <w:color w:val="666666"/>
          <w:sz w:val="24"/>
        </w:rPr>
        <w:t>MT5 马丁网格EA · XAUUSD专属</w:t>
      </w:r>
    </w:p>
    <w:p/>
    <w:p>
      <w:pPr>
        <w:pStyle w:val="Heading1"/>
      </w:pPr>
      <w:r>
        <w:t>一、策略核心思路</w:t>
      </w:r>
    </w:p>
    <w:p>
      <w:r>
        <w:rPr>
          <w:b w:val="0"/>
          <w:sz w:val="21"/>
        </w:rPr>
        <w:t>金貔貅是一款专为 XAUUSD（黄金/美分账户）设计的马丁格尔网格 EA。核心思路：用 EMA + SMC 六维智能资金概念判断趋势方向，顺势加仓拉均价，通过 ATR 动态间距适应不同波动环境，靠篮子止盈统一离场。</w:t>
      </w:r>
    </w:p>
    <w:p>
      <w:r>
        <w:rPr>
          <w:b/>
          <w:sz w:val="21"/>
        </w:rPr>
        <w:t>关键设计取舍：</w:t>
      </w:r>
    </w:p>
    <w:p>
      <w:r>
        <w:rPr>
          <w:b w:val="0"/>
          <w:sz w:val="21"/>
        </w:rPr>
        <w:t>· 不预测顶底，顺势追、逆势等</w:t>
        <w:br/>
        <w:t>· 盘整行情紧凑加仓快速止盈，单边行情自动拉大间距避免逆势密集加仓</w:t>
        <w:br/>
        <w:t>· 对冲作为最后防线，总浮亏超阈值才启动</w:t>
      </w:r>
    </w:p>
    <w:p>
      <w:pPr>
        <w:pStyle w:val="Heading1"/>
      </w:pPr>
      <w:r>
        <w:t>二、入场信号系统</w:t>
      </w:r>
    </w:p>
    <w:p>
      <w:r>
        <w:rPr>
          <w:b/>
          <w:sz w:val="21"/>
        </w:rPr>
        <w:t>入场模式：综合评分（COMBINED）</w:t>
      </w:r>
    </w:p>
    <w:p>
      <w:r>
        <w:rPr>
          <w:b w:val="0"/>
          <w:sz w:val="21"/>
        </w:rPr>
        <w:t>满分 60 = EMA（30分）+ SMC 归一化（30分）</w:t>
        <w:br/>
        <w:t>入场阈值：≥ 35 分，且多空方向确定时开仓</w:t>
      </w:r>
    </w:p>
    <w:p>
      <w:pPr>
        <w:pStyle w:val="Heading2"/>
      </w:pPr>
      <w:r>
        <w:t>EMA 信号（M5 周期，占 30 分）</w:t>
      </w:r>
    </w:p>
    <w:p>
      <w:r>
        <w:rPr>
          <w:b w:val="0"/>
          <w:sz w:val="21"/>
        </w:rPr>
        <w:t>快线 EMA(13) 上穿慢线 EMA(34) 且 M5 收盘价在快线上方 → 做多 30 分；快线下穿慢线且收盘价在快线下方 → 做空 30 分。不满足则为 0 分。EMA 无信号时，仅靠 SMC 无法单独触发入场。</w:t>
      </w:r>
    </w:p>
    <w:p>
      <w:pPr>
        <w:pStyle w:val="Heading2"/>
      </w:pPr>
      <w:r>
        <w:t>SMC 六维分析（3 层周期 × 6 组件 = 全景机构行为识别）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247"/>
            <w:shd w:fill="1a478a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周期</w:t>
            </w:r>
          </w:p>
        </w:tc>
        <w:tc>
          <w:tcPr>
            <w:tcW w:type="dxa" w:w="2268"/>
            <w:shd w:fill="1a478a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组件名称</w:t>
            </w:r>
          </w:p>
        </w:tc>
        <w:tc>
          <w:tcPr>
            <w:tcW w:type="dxa" w:w="850"/>
            <w:shd w:fill="1a478a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权重</w:t>
            </w:r>
          </w:p>
        </w:tc>
        <w:tc>
          <w:tcPr>
            <w:tcW w:type="dxa" w:w="4706"/>
            <w:shd w:fill="1a478a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含义</w:t>
            </w:r>
          </w:p>
        </w:tc>
      </w:tr>
      <w:tr>
        <w:tc>
          <w:tcPr>
            <w:tcW w:type="dxa" w:w="1247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4H</w:t>
              <w:br/>
              <w:t>（定方向）</w:t>
            </w:r>
          </w:p>
        </w:tc>
        <w:tc>
          <w:tcPr>
            <w:tcW w:type="dxa" w:w="2268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Imbalance 失衡</w:t>
            </w:r>
          </w:p>
        </w:tc>
        <w:tc>
          <w:tcPr>
            <w:tcW w:type="dxa" w:w="850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706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大实体 K 线一口吃掉前一根，主力资金进场痕迹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S/D Zone 供需区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70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脉冲 K 线前的盘整区，历史密集成交支撑/压力位</w:t>
            </w:r>
          </w:p>
        </w:tc>
      </w:tr>
      <w:tr>
        <w:tc>
          <w:tcPr>
            <w:tcW w:type="dxa" w:w="1247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1H</w:t>
              <w:br/>
              <w:t>（定时机）</w:t>
            </w:r>
          </w:p>
        </w:tc>
        <w:tc>
          <w:tcPr>
            <w:tcW w:type="dxa" w:w="2268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Order Block 订单块</w:t>
            </w:r>
          </w:p>
        </w:tc>
        <w:tc>
          <w:tcPr>
            <w:tcW w:type="dxa" w:w="850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706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连续 2 根同向脉冲 K 之前的那根反向 K 区域，机构挂单位置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FVG 公允价值缺口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70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 根 K 线间跳空未回补区域，价格倾向于回填</w:t>
            </w:r>
          </w:p>
        </w:tc>
      </w:tr>
      <w:tr>
        <w:tc>
          <w:tcPr>
            <w:tcW w:type="dxa" w:w="1247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M15</w:t>
              <w:br/>
              <w:t>（精定位）</w:t>
            </w:r>
          </w:p>
        </w:tc>
        <w:tc>
          <w:tcPr>
            <w:tcW w:type="dxa" w:w="2268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Liquidity Void 流动空白</w:t>
            </w:r>
          </w:p>
        </w:tc>
        <w:tc>
          <w:tcPr>
            <w:tcW w:type="dxa" w:w="850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706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大实体 + 几乎无影线，单向快速扫货痕迹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Breaker 破坏块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70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价格突破原订单块区域后翻转，确认信号反转</w:t>
            </w:r>
          </w:p>
        </w:tc>
      </w:tr>
      <w:tr>
        <w:tc>
          <w:tcPr>
            <w:tcW w:type="dxa" w:w="1247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归一化</w:t>
            </w:r>
          </w:p>
        </w:tc>
        <w:tc>
          <w:tcPr>
            <w:tcW w:type="dxa" w:w="2268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SMC 原始满分 70</w:t>
            </w:r>
          </w:p>
        </w:tc>
        <w:tc>
          <w:tcPr>
            <w:tcW w:type="dxa" w:w="850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4706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原始分 ÷ 70 × 30 → 归一化到 EMA 同等范围</w:t>
            </w:r>
          </w:p>
        </w:tc>
      </w:tr>
    </w:tbl>
    <w:p/>
    <w:p>
      <w:pPr>
        <w:pStyle w:val="Heading2"/>
      </w:pPr>
      <w:r>
        <w:t>H4 趋势过滤（默认 2K 确认）</w:t>
      </w:r>
    </w:p>
    <w:p>
      <w:r>
        <w:rPr>
          <w:b w:val="0"/>
          <w:sz w:val="21"/>
        </w:rPr>
        <w:t>做多需连续 2 根 H4 收盘价在 EMA 上方，做空需连续 2 根在下方。防止短期噪音导致的逆大势开仓。</w:t>
      </w:r>
    </w:p>
    <w:p>
      <w:pPr>
        <w:pStyle w:val="Heading2"/>
      </w:pPr>
      <w:r>
        <w:t>CCI 极端过滤（可选）</w:t>
      </w:r>
    </w:p>
    <w:p>
      <w:r>
        <w:rPr>
          <w:b w:val="0"/>
          <w:sz w:val="21"/>
        </w:rPr>
        <w:t>H1 周期 14，阈值 ±150。做多时 CCI &gt; 150 否决（超买不追），做空时 CCI &lt; −150 否决（超卖不追）。</w:t>
      </w:r>
    </w:p>
    <w:p>
      <w:pPr>
        <w:pStyle w:val="Heading1"/>
      </w:pPr>
      <w:r>
        <w:t>三、马丁加仓机制</w:t>
      </w:r>
    </w:p>
    <w:p>
      <w:pPr>
        <w:pStyle w:val="Heading2"/>
      </w:pPr>
      <w:r>
        <w:t>加仓参数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a478a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参数</w:t>
            </w:r>
          </w:p>
        </w:tc>
        <w:tc>
          <w:tcPr>
            <w:tcW w:type="dxa" w:w="4819"/>
            <w:shd w:fill="1a478a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默认值</w:t>
            </w:r>
          </w:p>
        </w:tc>
      </w:tr>
      <w:tr>
        <w:tc>
          <w:tcPr>
            <w:tcW w:type="dxa" w:w="4819"/>
            <w:shd w:fill="f0f4f8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最大层数</w:t>
            </w:r>
          </w:p>
        </w:tc>
        <w:tc>
          <w:tcPr>
            <w:tcW w:type="dxa" w:w="4819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 层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首单手数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0.01</w:t>
            </w:r>
          </w:p>
        </w:tc>
      </w:tr>
      <w:tr>
        <w:tc>
          <w:tcPr>
            <w:tcW w:type="dxa" w:w="4819"/>
            <w:shd w:fill="f0f4f8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手数倍率</w:t>
            </w:r>
          </w:p>
        </w:tc>
        <w:tc>
          <w:tcPr>
            <w:tcW w:type="dxa" w:w="4819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每层 ×1.20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单层上限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1.50 手</w:t>
            </w:r>
          </w:p>
        </w:tc>
      </w:tr>
      <w:tr>
        <w:tc>
          <w:tcPr>
            <w:tcW w:type="dxa" w:w="4819"/>
            <w:shd w:fill="f0f4f8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总手数上限</w:t>
            </w:r>
          </w:p>
        </w:tc>
        <w:tc>
          <w:tcPr>
            <w:tcW w:type="dxa" w:w="4819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2.00 手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平仓后冷却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 秒</w:t>
            </w:r>
          </w:p>
        </w:tc>
      </w:tr>
    </w:tbl>
    <w:p/>
    <w:p>
      <w:pPr>
        <w:pStyle w:val="Heading2"/>
      </w:pPr>
      <w:r>
        <w:t>ATR 动态间距（核心创新）</w:t>
      </w:r>
    </w:p>
    <w:p>
      <w:r>
        <w:rPr>
          <w:b/>
          <w:sz w:val="21"/>
        </w:rPr>
        <w:t>公式：</w:t>
      </w:r>
    </w:p>
    <w:p>
      <w:r>
        <w:rPr>
          <w:b/>
          <w:sz w:val="21"/>
        </w:rPr>
        <w:t>间距 = 100 + 层数×20 + ATR(3)÷Point × 系数 × ratio^1.5</w:t>
      </w:r>
    </w:p>
    <w:p/>
    <w:p>
      <w:r>
        <w:rPr>
          <w:b w:val="0"/>
          <w:sz w:val="21"/>
        </w:rPr>
        <w:t>两个 ATR 句柄（均在 M5 周期）：</w:t>
      </w:r>
    </w:p>
    <w:p>
      <w:r>
        <w:rPr>
          <w:b w:val="0"/>
          <w:sz w:val="21"/>
        </w:rPr>
        <w:t xml:space="preserve">  · ATR(3) = 最近 3 根 M5 的平均波幅 —— 捕捉短期波动</w:t>
      </w:r>
    </w:p>
    <w:p>
      <w:r>
        <w:rPr>
          <w:b w:val="0"/>
          <w:sz w:val="21"/>
        </w:rPr>
        <w:t xml:space="preserve">  · ATR(6) = 最近 6 根 M5 的平均波幅 —— 作为中期基准</w:t>
      </w:r>
    </w:p>
    <w:p/>
    <w:p>
      <w:r>
        <w:rPr>
          <w:b w:val="0"/>
          <w:sz w:val="21"/>
        </w:rPr>
        <w:t>扩张比 ratio = ATR(3) ÷ ATR(6)</w:t>
      </w:r>
    </w:p>
    <w:p>
      <w:r>
        <w:rPr>
          <w:b w:val="0"/>
          <w:sz w:val="21"/>
        </w:rPr>
        <w:t xml:space="preserve">  · ratio = 1.0 → 盘整，expansion = 1.0，无额外放大</w:t>
      </w:r>
    </w:p>
    <w:p>
      <w:r>
        <w:rPr>
          <w:b w:val="0"/>
          <w:sz w:val="21"/>
        </w:rPr>
        <w:t xml:space="preserve">  · ratio &gt; 1.0 → 波动爆发，expansion &gt; 1.0，ATR 贡献被放大</w:t>
      </w:r>
    </w:p>
    <w:p>
      <w:r>
        <w:rPr>
          <w:b w:val="0"/>
          <w:sz w:val="21"/>
        </w:rPr>
        <w:t xml:space="preserve">  · ratio^1.5 曲线：平时趴着不动，暴走时跳起来，不会过度放大</w:t>
      </w:r>
    </w:p>
    <w:p/>
    <w:p>
      <w:r>
        <w:rPr>
          <w:b/>
          <w:sz w:val="21"/>
        </w:rPr>
        <w:t>举例（系数 0.05，23 层）：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f5a623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行情</w:t>
            </w:r>
          </w:p>
        </w:tc>
        <w:tc>
          <w:tcPr>
            <w:tcW w:type="dxa" w:w="2409"/>
            <w:shd w:fill="f5a623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ATR($)</w:t>
            </w:r>
          </w:p>
        </w:tc>
        <w:tc>
          <w:tcPr>
            <w:tcW w:type="dxa" w:w="2409"/>
            <w:shd w:fill="f5a623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ratio</w:t>
            </w:r>
          </w:p>
        </w:tc>
        <w:tc>
          <w:tcPr>
            <w:tcW w:type="dxa" w:w="2409"/>
            <w:shd w:fill="f5a623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间距</w:t>
            </w:r>
          </w:p>
        </w:tc>
      </w:tr>
      <w:tr>
        <w:tc>
          <w:tcPr>
            <w:tcW w:type="dxa" w:w="2409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盘整</w:t>
            </w:r>
          </w:p>
        </w:tc>
        <w:tc>
          <w:tcPr>
            <w:tcW w:type="dxa" w:w="2409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2409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2409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660 点 ($0.66)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普通波动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5.0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1.5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1,238 点 ($1.24)</w:t>
            </w:r>
          </w:p>
        </w:tc>
      </w:tr>
      <w:tr>
        <w:tc>
          <w:tcPr>
            <w:tcW w:type="dxa" w:w="2409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暴走单边</w:t>
            </w:r>
          </w:p>
        </w:tc>
        <w:tc>
          <w:tcPr>
            <w:tcW w:type="dxa" w:w="2409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7.0</w:t>
            </w:r>
          </w:p>
        </w:tc>
        <w:tc>
          <w:tcPr>
            <w:tcW w:type="dxa" w:w="2409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1.7</w:t>
            </w:r>
          </w:p>
        </w:tc>
        <w:tc>
          <w:tcPr>
            <w:tcW w:type="dxa" w:w="2409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1,520 点 ($1.52)</w:t>
            </w:r>
          </w:p>
        </w:tc>
      </w:tr>
    </w:tbl>
    <w:p>
      <w:r>
        <w:rPr>
          <w:b w:val="0"/>
          <w:sz w:val="21"/>
        </w:rPr>
        <w:br/>
        <w:t>设计意图：震荡时 ATR 小且 ratio≈1.0，间距紧凑频繁加仓快速止盈；单边时 ATR 涨且 ratio&gt;1.0，间距自动拉开，后续层数不会密集追单。</w:t>
      </w:r>
    </w:p>
    <w:p>
      <w:pPr>
        <w:pStyle w:val="Heading1"/>
      </w:pPr>
      <w:r>
        <w:t>四、止盈止损体系</w:t>
      </w:r>
    </w:p>
    <w:p>
      <w:pPr>
        <w:pStyle w:val="Heading2"/>
      </w:pPr>
      <w:r>
        <w:t>篮子动态止盈</w:t>
      </w:r>
    </w:p>
    <w:p>
      <w:r>
        <w:rPr>
          <w:b/>
          <w:sz w:val="21"/>
        </w:rPr>
        <w:t>TP = 8 美分 + (层数 − 1) × 8 美分</w:t>
      </w:r>
    </w:p>
    <w:p>
      <w:r>
        <w:rPr>
          <w:b w:val="0"/>
          <w:sz w:val="21"/>
        </w:rPr>
        <w:t>层数越多止盈目标越高，覆盖加仓成本。例：3 层 = 24 美分，10 层 = 80 美分。</w:t>
      </w:r>
    </w:p>
    <w:p>
      <w:pPr>
        <w:pStyle w:val="Heading2"/>
      </w:pPr>
      <w:r>
        <w:t>动态追踪止盈（对冲激活时暂停）</w:t>
      </w:r>
    </w:p>
    <w:p>
      <w:r>
        <w:rPr>
          <w:b/>
          <w:sz w:val="21"/>
        </w:rPr>
        <w:t>保留峰值 × 50%，启动门槛 = 当前 TP × 60%</w:t>
      </w:r>
    </w:p>
    <w:p>
      <w:r>
        <w:rPr>
          <w:b w:val="0"/>
          <w:sz w:val="21"/>
        </w:rPr>
        <w:t>例：TP = 24 美分 → 浮盈达 14.4 美分启动追踪 → 回撤到峰值的 50% 平仓。</w:t>
      </w:r>
    </w:p>
    <w:p>
      <w:pPr>
        <w:pStyle w:val="Heading2"/>
      </w:pPr>
      <w:r>
        <w:t>其他保护</w:t>
      </w:r>
    </w:p>
    <w:p>
      <w:r>
        <w:rPr>
          <w:b w:val="0"/>
          <w:sz w:val="21"/>
        </w:rPr>
        <w:t>· 硬止损（默认不限）：整篮子亏损达设定值全平持仓</w:t>
        <w:br/>
        <w:t>· 快速亏损熔断（默认关闭）：N 秒内亏损达 X 美分暂停交易，回本 Y 美分恢复</w:t>
      </w:r>
    </w:p>
    <w:p>
      <w:pPr>
        <w:pStyle w:val="Heading1"/>
      </w:pPr>
      <w:r>
        <w:t>五、对冲保护</w:t>
      </w:r>
    </w:p>
    <w:p>
      <w:r>
        <w:rPr>
          <w:b/>
          <w:sz w:val="21"/>
        </w:rPr>
        <w:t>触发条件（二选一）：</w:t>
      </w:r>
    </w:p>
    <w:p>
      <w:r>
        <w:rPr>
          <w:b w:val="0"/>
          <w:sz w:val="21"/>
        </w:rPr>
        <w:t>· 百分比模式：浮亏占权益 ≥ 40%</w:t>
        <w:br/>
        <w:t>· 绝对金额模式：浮亏 ≥ 200 美分</w:t>
      </w:r>
    </w:p>
    <w:p>
      <w:r>
        <w:rPr>
          <w:b/>
          <w:sz w:val="21"/>
        </w:rPr>
        <w:t>对冲执行：</w:t>
      </w:r>
    </w:p>
    <w:p>
      <w:r>
        <w:rPr>
          <w:b w:val="0"/>
          <w:sz w:val="21"/>
        </w:rPr>
        <w:t>反向开仓手数 = 马丁总手数 × 60%。对冲期间所有风控判断（硬止损 / 日亏损 / 熔断 / 追踪）改用马丁 + 对冲的总浮亏，避免忽略对冲利润而误杀。</w:t>
      </w:r>
    </w:p>
    <w:p>
      <w:r>
        <w:rPr>
          <w:b/>
          <w:sz w:val="21"/>
        </w:rPr>
        <w:t>释放方式：</w:t>
      </w:r>
    </w:p>
    <w:p>
      <w:r>
        <w:rPr>
          <w:b w:val="0"/>
          <w:sz w:val="21"/>
        </w:rPr>
        <w:t>固定止盈：总盈亏达到设定盈利目标；动态止盈：每层 N 美分递增。</w:t>
      </w:r>
    </w:p>
    <w:p>
      <w:pPr>
        <w:pStyle w:val="Heading1"/>
      </w:pPr>
      <w:r>
        <w:t>六、风控体系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a478a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风控项</w:t>
            </w:r>
          </w:p>
        </w:tc>
        <w:tc>
          <w:tcPr>
            <w:tcW w:type="dxa" w:w="4819"/>
            <w:shd w:fill="1a478a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默认设置</w:t>
            </w:r>
          </w:p>
        </w:tc>
      </w:tr>
      <w:tr>
        <w:tc>
          <w:tcPr>
            <w:tcW w:type="dxa" w:w="4819"/>
            <w:shd w:fill="f0f4f8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日亏损锁定</w:t>
            </w:r>
          </w:p>
        </w:tc>
        <w:tc>
          <w:tcPr>
            <w:tcW w:type="dxa" w:w="4819"/>
            <w:shd w:fill="f0f4f8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日亏损 &gt; 权益 8% 暂停交易，次日重置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点差保护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点差 &gt; 450 点不新开仓</w:t>
            </w:r>
          </w:p>
        </w:tc>
      </w:tr>
      <w:tr>
        <w:tc>
          <w:tcPr>
            <w:tcW w:type="dxa" w:w="4819"/>
            <w:shd w:fill="f0f4f8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交易时段</w:t>
            </w:r>
          </w:p>
        </w:tc>
        <w:tc>
          <w:tcPr>
            <w:tcW w:type="dxa" w:w="4819"/>
            <w:shd w:fill="f0f4f8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无限制（0~24 时），可设定时停止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新闻避让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可设北京时间区间暂停交易</w:t>
            </w:r>
          </w:p>
        </w:tc>
      </w:tr>
    </w:tbl>
    <w:p/>
    <w:p>
      <w:pPr>
        <w:pStyle w:val="Heading1"/>
      </w:pPr>
      <w:r>
        <w:t>七、状态面板信息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a478a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行号</w:t>
            </w:r>
          </w:p>
        </w:tc>
        <w:tc>
          <w:tcPr>
            <w:tcW w:type="dxa" w:w="4819"/>
            <w:shd w:fill="1a478a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819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第1行</w:t>
            </w:r>
          </w:p>
        </w:tc>
        <w:tc>
          <w:tcPr>
            <w:tcW w:type="dxa" w:w="4819"/>
            <w:shd w:fill="f0f4f8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EMA±N|失±N|供±N|订±N|缺±N|空±N|破±N → 方向 分/满分 V/X | 层/总 距剩余|间距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第2行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权益 余额 日锁状态 硬SL状态 熔断状态</w:t>
            </w:r>
          </w:p>
        </w:tc>
      </w:tr>
      <w:tr>
        <w:tc>
          <w:tcPr>
            <w:tcW w:type="dxa" w:w="4819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第3行</w:t>
            </w:r>
          </w:p>
        </w:tc>
        <w:tc>
          <w:tcPr>
            <w:tcW w:type="dxa" w:w="4819"/>
            <w:shd w:fill="f0f4f8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日最大回撤额(%) 浮亏% 对冲触发条件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第4行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TP金额(层数) SL金额 追踪参数</w:t>
            </w:r>
          </w:p>
        </w:tc>
      </w:tr>
      <w:tr>
        <w:tc>
          <w:tcPr>
            <w:tcW w:type="dxa" w:w="4819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第5行</w:t>
            </w:r>
          </w:p>
        </w:tc>
        <w:tc>
          <w:tcPr>
            <w:tcW w:type="dxa" w:w="4819"/>
            <w:shd w:fill="f0f4f8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对冲状态与详情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底部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综合:多分 空分 [方向 得分/满分 阈值] ATR比值 CCI实时值</w:t>
            </w:r>
          </w:p>
        </w:tc>
      </w:tr>
    </w:tbl>
    <w:p/>
    <w:p>
      <w:pPr>
        <w:pStyle w:val="Heading1"/>
      </w:pPr>
      <w:r>
        <w:t>八、推荐参数范围（XAUUSD 美分账户 · M5 周期）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f5a623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参数</w:t>
            </w:r>
          </w:p>
        </w:tc>
        <w:tc>
          <w:tcPr>
            <w:tcW w:type="dxa" w:w="4819"/>
            <w:shd w:fill="f5a623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推荐范围</w:t>
            </w:r>
          </w:p>
        </w:tc>
      </w:tr>
      <w:tr>
        <w:tc>
          <w:tcPr>
            <w:tcW w:type="dxa" w:w="4819"/>
            <w:shd w:fill="f0f4f8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ATR 间距系数</w:t>
            </w:r>
          </w:p>
        </w:tc>
        <w:tc>
          <w:tcPr>
            <w:tcW w:type="dxa" w:w="4819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0.02 ~ 0.08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综合入场阈值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 ~ 40（推荐 35）</w:t>
            </w:r>
          </w:p>
        </w:tc>
      </w:tr>
      <w:tr>
        <w:tc>
          <w:tcPr>
            <w:tcW w:type="dxa" w:w="4819"/>
            <w:shd w:fill="f0f4f8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最大层数</w:t>
            </w:r>
          </w:p>
        </w:tc>
        <w:tc>
          <w:tcPr>
            <w:tcW w:type="dxa" w:w="4819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 ~ 50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篮子基础止盈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 ~ 15 美分</w:t>
            </w:r>
          </w:p>
        </w:tc>
      </w:tr>
      <w:tr>
        <w:tc>
          <w:tcPr>
            <w:tcW w:type="dxa" w:w="4819"/>
            <w:shd w:fill="f0f4f8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每层 TP 增量</w:t>
            </w:r>
          </w:p>
        </w:tc>
        <w:tc>
          <w:tcPr>
            <w:tcW w:type="dxa" w:w="4819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 ~ 10 美分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手数递增倍率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1.15 ~ 1.30</w:t>
            </w:r>
          </w:p>
        </w:tc>
      </w:tr>
      <w:tr>
        <w:tc>
          <w:tcPr>
            <w:tcW w:type="dxa" w:w="4819"/>
            <w:shd w:fill="f0f4f8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对冲触发浮亏 %</w:t>
            </w:r>
          </w:p>
        </w:tc>
        <w:tc>
          <w:tcPr>
            <w:tcW w:type="dxa" w:w="4819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 ~ 50%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追踪保留 %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 ~ 70%</w:t>
            </w:r>
          </w:p>
        </w:tc>
      </w:tr>
    </w:tbl>
    <w:p/>
    <w:p>
      <w:pPr>
        <w:jc w:val="center"/>
      </w:pPr>
      <w:r>
        <w:rPr>
          <w:color w:val="666666"/>
          <w:sz w:val="18"/>
        </w:rPr>
        <w:t>— 金貔貅 V1.11 —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