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8A"/>
          <w:sz w:val="48"/>
        </w:rPr>
        <w:t>Golden Pixiu V1.11</w:t>
      </w:r>
    </w:p>
    <w:p>
      <w:pPr>
        <w:jc w:val="center"/>
      </w:pPr>
      <w:r>
        <w:rPr>
          <w:color w:val="666666"/>
          <w:sz w:val="24"/>
        </w:rPr>
        <w:t>MT5 Martingale Grid EA for XAUUSD</w:t>
      </w:r>
    </w:p>
    <w:p/>
    <w:p>
      <w:pPr>
        <w:pStyle w:val="Heading1"/>
      </w:pPr>
      <w:r>
        <w:rPr>
          <w:rFonts w:ascii="Arial" w:hAnsi="Arial"/>
        </w:rPr>
        <w:t>1. Strategy Overview</w:t>
      </w:r>
    </w:p>
    <w:p>
      <w:r>
        <w:rPr>
          <w:b w:val="0"/>
          <w:sz w:val="21"/>
        </w:rPr>
        <w:t>Golden Pixiu is a martingale grid Expert Advisor designed specifically for XAUUSD (Gold) on cent accounts. It uses a combined scoring system of EMA trend signals and SMC (Smart Money Concepts) six-component analysis to determine trade direction, then builds positions through a martingale grid with ATR-based dynamic spacing to adapt to different volatility environments.</w:t>
      </w:r>
    </w:p>
    <w:p>
      <w:r>
        <w:rPr>
          <w:b/>
          <w:sz w:val="21"/>
        </w:rPr>
        <w:t>Key Design Principles:</w:t>
      </w:r>
    </w:p>
    <w:p>
      <w:r>
        <w:rPr>
          <w:b w:val="0"/>
          <w:sz w:val="21"/>
        </w:rPr>
        <w:t>- Does not predict tops or bottoms; follows the trend and waits when there is no signal</w:t>
        <w:br/>
        <w:t>- Tight grid spacing in ranging markets for quick profit-taking; auto-widens spacing during strong trends to avoid overtrading</w:t>
        <w:br/>
        <w:t>- Hedge mechanism as the last line of defense, only activated when total floating loss exceeds a threshold</w:t>
      </w:r>
    </w:p>
    <w:p>
      <w:pPr>
        <w:pStyle w:val="Heading1"/>
      </w:pPr>
      <w:r>
        <w:rPr>
          <w:rFonts w:ascii="Arial" w:hAnsi="Arial"/>
        </w:rPr>
        <w:t>2. Entry Signal System</w:t>
      </w:r>
    </w:p>
    <w:p>
      <w:r>
        <w:rPr>
          <w:b/>
          <w:sz w:val="21"/>
        </w:rPr>
        <w:t>Combined Score Formula:</w:t>
      </w:r>
    </w:p>
    <w:p>
      <w:r>
        <w:rPr>
          <w:b w:val="0"/>
          <w:sz w:val="21"/>
        </w:rPr>
        <w:t>Max Score 60 = EMA (30 pts) + SMC Normalized (30 pts)</w:t>
      </w:r>
    </w:p>
    <w:p>
      <w:r>
        <w:rPr>
          <w:b w:val="0"/>
          <w:sz w:val="21"/>
        </w:rPr>
        <w:t>Entry Threshold: 35 pts (both direction and threshold must be satisfied)</w:t>
      </w:r>
    </w:p>
    <w:p>
      <w:pPr>
        <w:pStyle w:val="Heading2"/>
      </w:pPr>
      <w:r>
        <w:rPr>
          <w:rFonts w:ascii="Arial" w:hAnsi="Arial"/>
        </w:rPr>
        <w:t>EMA Signal (M5 Timeframe, 30 pts)</w:t>
      </w:r>
    </w:p>
    <w:p>
      <w:r>
        <w:rPr>
          <w:b w:val="0"/>
          <w:sz w:val="21"/>
        </w:rPr>
        <w:t>Fast EMA(13) crossing above Slow EMA(34) with close above fast EMA = Long signal (30 pts). Fast crossing below with close below fast EMA = Short signal (30 pts). No cross = 0 pts. Without EMA signal, SMC alone cannot trigger entry.</w:t>
      </w:r>
    </w:p>
    <w:p>
      <w:pPr>
        <w:pStyle w:val="Heading2"/>
      </w:pPr>
      <w:r>
        <w:rPr>
          <w:rFonts w:ascii="Arial" w:hAnsi="Arial"/>
        </w:rPr>
        <w:t>SMC Six-Component Analysis (3 Timeframes x 6 Components)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Timeframe</w:t>
            </w:r>
          </w:p>
        </w:tc>
        <w:tc>
          <w:tcPr>
            <w:tcW w:type="dxa" w:w="1984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850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Weight</w:t>
            </w:r>
          </w:p>
        </w:tc>
        <w:tc>
          <w:tcPr>
            <w:tcW w:type="dxa" w:w="5102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134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H4</w:t>
              <w:br/>
              <w:t>(Direction)</w:t>
            </w:r>
          </w:p>
        </w:tc>
        <w:tc>
          <w:tcPr>
            <w:tcW w:type="dxa" w:w="1984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Imbalance</w:t>
            </w:r>
          </w:p>
        </w:tc>
        <w:tc>
          <w:tcPr>
            <w:tcW w:type="dxa" w:w="850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102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Large body candle engulfing the previous candle; institutional entry trace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S/D Zone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Consolidation area before an impulse candle; historical supply/demand zone</w:t>
            </w:r>
          </w:p>
        </w:tc>
      </w:tr>
      <w:tr>
        <w:tc>
          <w:tcPr>
            <w:tcW w:type="dxa" w:w="1134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H1</w:t>
              <w:br/>
              <w:t>(Timing)</w:t>
            </w:r>
          </w:p>
        </w:tc>
        <w:tc>
          <w:tcPr>
            <w:tcW w:type="dxa" w:w="1984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Order Block</w:t>
            </w:r>
          </w:p>
        </w:tc>
        <w:tc>
          <w:tcPr>
            <w:tcW w:type="dxa" w:w="850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5102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Last opposite candle before two consecutive impulse candles; institutional order placement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FVG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Fair Value Gap: unfilled gap between 3 candles that price tends to revisit</w:t>
            </w:r>
          </w:p>
        </w:tc>
      </w:tr>
      <w:tr>
        <w:tc>
          <w:tcPr>
            <w:tcW w:type="dxa" w:w="1134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M15</w:t>
              <w:br/>
              <w:t>(Precision)</w:t>
            </w:r>
          </w:p>
        </w:tc>
        <w:tc>
          <w:tcPr>
            <w:tcW w:type="dxa" w:w="1984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Liquidity Void</w:t>
            </w:r>
          </w:p>
        </w:tc>
        <w:tc>
          <w:tcPr>
            <w:tcW w:type="dxa" w:w="850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102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Large body + tiny wicks; one-sided sweep indicating strong momentum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Breaker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Violated order block area acting as opposite support/resistance</w:t>
            </w:r>
          </w:p>
        </w:tc>
      </w:tr>
      <w:tr>
        <w:tc>
          <w:tcPr>
            <w:tcW w:type="dxa" w:w="1134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Normalization</w:t>
            </w:r>
          </w:p>
        </w:tc>
        <w:tc>
          <w:tcPr>
            <w:tcW w:type="dxa" w:w="1984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Max raw = 70</w:t>
            </w:r>
          </w:p>
        </w:tc>
        <w:tc>
          <w:tcPr>
            <w:tcW w:type="dxa" w:w="850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5102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Raw SMC score / 70 x 30 = normalized 0-30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H4 Trend Filter (Default: 2K Confirmation)</w:t>
      </w:r>
    </w:p>
    <w:p>
      <w:r>
        <w:rPr>
          <w:b w:val="0"/>
          <w:sz w:val="21"/>
        </w:rPr>
        <w:t>Long signals require 2 consecutive H4 closes above EMA; short signals require 2 consecutive H4 closes below EMA. This prevents counter-trend entries against the major trend.</w:t>
      </w:r>
    </w:p>
    <w:p>
      <w:pPr>
        <w:pStyle w:val="Heading2"/>
      </w:pPr>
      <w:r>
        <w:rPr>
          <w:rFonts w:ascii="Arial" w:hAnsi="Arial"/>
        </w:rPr>
        <w:t>CCI Extreme Filter (Optional)</w:t>
      </w:r>
    </w:p>
    <w:p>
      <w:r>
        <w:rPr>
          <w:b w:val="0"/>
          <w:sz w:val="21"/>
        </w:rPr>
        <w:t>H1 period 14, threshold +/-150. Long signals are vetoed when CCI &gt; 150 (overbought); short signals vetoed when CCI &lt; -150 (oversold).</w:t>
      </w:r>
    </w:p>
    <w:p>
      <w:pPr>
        <w:pStyle w:val="Heading1"/>
      </w:pPr>
      <w:r>
        <w:rPr>
          <w:rFonts w:ascii="Arial" w:hAnsi="Arial"/>
        </w:rPr>
        <w:t>3. Martingale Grid Mechanism</w:t>
      </w:r>
    </w:p>
    <w:p>
      <w:pPr>
        <w:pStyle w:val="Heading2"/>
      </w:pPr>
      <w:r>
        <w:rPr>
          <w:rFonts w:ascii="Arial" w:hAnsi="Arial"/>
        </w:rPr>
        <w:t>Position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819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Default Value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Max Layers</w:t>
            </w:r>
          </w:p>
        </w:tc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Base Lot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0.01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Lot Multiplier</w:t>
            </w:r>
          </w:p>
        </w:tc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1.20x per layer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Max Single Layer Lot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1.50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Max Total Lots</w:t>
            </w:r>
          </w:p>
        </w:tc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2.00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Cooldown After Close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 seconds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ATR Dynamic Spacing (Core Innovation)</w:t>
      </w:r>
    </w:p>
    <w:p>
      <w:r>
        <w:rPr>
          <w:b/>
          <w:sz w:val="21"/>
        </w:rPr>
        <w:t>Formula:</w:t>
      </w:r>
    </w:p>
    <w:p>
      <w:r>
        <w:rPr>
          <w:b/>
          <w:sz w:val="21"/>
        </w:rPr>
        <w:t>Spacing = 100 + Layer x 20 + ATR(3)/Point x Coeff x Ratio^1.5</w:t>
      </w:r>
    </w:p>
    <w:p/>
    <w:p>
      <w:r>
        <w:rPr>
          <w:b w:val="0"/>
          <w:sz w:val="21"/>
        </w:rPr>
        <w:t>Two ATR handles (both on M5 timeframe):</w:t>
      </w:r>
    </w:p>
    <w:p>
      <w:r>
        <w:rPr>
          <w:b w:val="0"/>
          <w:sz w:val="21"/>
        </w:rPr>
        <w:t xml:space="preserve">  - ATR(3): average range of last 3 M5 candles (short-term volatility)</w:t>
      </w:r>
    </w:p>
    <w:p>
      <w:r>
        <w:rPr>
          <w:b w:val="0"/>
          <w:sz w:val="21"/>
        </w:rPr>
        <w:t xml:space="preserve">  - ATR(6): average range of last 6 M5 candles (medium-term baseline)</w:t>
      </w:r>
    </w:p>
    <w:p/>
    <w:p>
      <w:r>
        <w:rPr>
          <w:b w:val="0"/>
          <w:sz w:val="21"/>
        </w:rPr>
        <w:t>Expansion Ratio = ATR(3) / ATR(6)</w:t>
      </w:r>
    </w:p>
    <w:p>
      <w:r>
        <w:rPr>
          <w:b w:val="0"/>
          <w:sz w:val="21"/>
        </w:rPr>
        <w:t xml:space="preserve">  - Ratio = 1.0: consolidation, Expansion = 1.0 (no extra amplification)</w:t>
      </w:r>
    </w:p>
    <w:p>
      <w:r>
        <w:rPr>
          <w:b w:val="0"/>
          <w:sz w:val="21"/>
        </w:rPr>
        <w:t xml:space="preserve">  - Ratio &gt; 1.0: volatility spike, Expansion &gt; 1.0 (ATR contribution amplified)</w:t>
      </w:r>
    </w:p>
    <w:p>
      <w:r>
        <w:rPr>
          <w:b w:val="0"/>
          <w:sz w:val="21"/>
        </w:rPr>
        <w:t xml:space="preserve">  - The Ratio^1.5 curve stays flat during calm markets and accelerates during explosions</w:t>
      </w:r>
    </w:p>
    <w:p/>
    <w:p>
      <w:r>
        <w:rPr>
          <w:b/>
          <w:sz w:val="21"/>
        </w:rPr>
        <w:t>Example (Coeff=0.05, Layer 23):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5a62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Market</w:t>
            </w:r>
          </w:p>
        </w:tc>
        <w:tc>
          <w:tcPr>
            <w:tcW w:type="dxa" w:w="2409"/>
            <w:shd w:fill="f5a62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ATR($)</w:t>
            </w:r>
          </w:p>
        </w:tc>
        <w:tc>
          <w:tcPr>
            <w:tcW w:type="dxa" w:w="2409"/>
            <w:shd w:fill="f5a62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Ratio</w:t>
            </w:r>
          </w:p>
        </w:tc>
        <w:tc>
          <w:tcPr>
            <w:tcW w:type="dxa" w:w="2409"/>
            <w:shd w:fill="f5a62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8"/>
              </w:rPr>
              <w:t>Spacing</w:t>
            </w:r>
          </w:p>
        </w:tc>
      </w:tr>
      <w:tr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Consolidation</w:t>
            </w:r>
          </w:p>
        </w:tc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660 pts ($0.66)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Normal Move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1,238 pts ($1.24)</w:t>
            </w:r>
          </w:p>
        </w:tc>
      </w:tr>
      <w:tr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Strong Trend</w:t>
            </w:r>
          </w:p>
        </w:tc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7.0</w:t>
            </w:r>
          </w:p>
        </w:tc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1.7</w:t>
            </w:r>
          </w:p>
        </w:tc>
        <w:tc>
          <w:tcPr>
            <w:tcW w:type="dxa" w:w="240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1,520 pts ($1.52)</w:t>
            </w:r>
          </w:p>
        </w:tc>
      </w:tr>
    </w:tbl>
    <w:p>
      <w:r>
        <w:rPr>
          <w:b w:val="0"/>
          <w:sz w:val="21"/>
        </w:rPr>
        <w:br/>
        <w:t>Design Intent: In ranging markets, small ATR and ratio ~1.0 keep spacing tight for frequent adds and quick TP. In trending markets, rising ATR and ratio &gt; 1.0 widen spacing automatically so later layers do not pile up against the trend.</w:t>
      </w:r>
    </w:p>
    <w:p>
      <w:pPr>
        <w:pStyle w:val="Heading1"/>
      </w:pPr>
      <w:r>
        <w:rPr>
          <w:rFonts w:ascii="Arial" w:hAnsi="Arial"/>
        </w:rPr>
        <w:t>4. Take Profit &amp; Stop Loss</w:t>
      </w:r>
    </w:p>
    <w:p>
      <w:pPr>
        <w:pStyle w:val="Heading2"/>
      </w:pPr>
      <w:r>
        <w:rPr>
          <w:rFonts w:ascii="Arial" w:hAnsi="Arial"/>
        </w:rPr>
        <w:t>Dynamic Basket TP</w:t>
      </w:r>
    </w:p>
    <w:p>
      <w:r>
        <w:rPr>
          <w:b/>
          <w:sz w:val="21"/>
        </w:rPr>
        <w:t>TP = 8 cents + (LayerCount - 1) x 8 cents</w:t>
      </w:r>
    </w:p>
    <w:p>
      <w:r>
        <w:rPr>
          <w:b w:val="0"/>
          <w:sz w:val="21"/>
        </w:rPr>
        <w:t>More layers = higher TP target to cover accumulated costs. Example: 3 layers = 24c, 10 layers = 80c.</w:t>
      </w:r>
    </w:p>
    <w:p>
      <w:pPr>
        <w:pStyle w:val="Heading2"/>
      </w:pPr>
      <w:r>
        <w:rPr>
          <w:rFonts w:ascii="Arial" w:hAnsi="Arial"/>
        </w:rPr>
        <w:t>Trailing Stop (Paused when Hedge Active)</w:t>
      </w:r>
    </w:p>
    <w:p>
      <w:r>
        <w:rPr>
          <w:b/>
          <w:sz w:val="21"/>
        </w:rPr>
        <w:t>Trail Retention = 50%, Activation Threshold = Current TP x 60%</w:t>
      </w:r>
    </w:p>
    <w:p>
      <w:r>
        <w:rPr>
          <w:b w:val="0"/>
          <w:sz w:val="21"/>
        </w:rPr>
        <w:t>Example: TP=24c, activates at 14.4c profit; if basket peak hits 24c and then retraces to 12c (50% of peak), all positions are closed.</w:t>
      </w:r>
    </w:p>
    <w:p>
      <w:pPr>
        <w:pStyle w:val="Heading2"/>
      </w:pPr>
      <w:r>
        <w:rPr>
          <w:rFonts w:ascii="Arial" w:hAnsi="Arial"/>
        </w:rPr>
        <w:t>Other Protections</w:t>
      </w:r>
    </w:p>
    <w:p>
      <w:r>
        <w:rPr>
          <w:b w:val="0"/>
          <w:sz w:val="21"/>
        </w:rPr>
        <w:t>- Hard SL (default: unlimited): Close all when basket loss reaches set amount</w:t>
        <w:br/>
        <w:t>- Fast Loss Breaker (default: off): If loss exceeds X within N seconds, pause trading until Y recovery is achieved</w:t>
      </w:r>
    </w:p>
    <w:p>
      <w:pPr>
        <w:pStyle w:val="Heading1"/>
      </w:pPr>
      <w:r>
        <w:rPr>
          <w:rFonts w:ascii="Arial" w:hAnsi="Arial"/>
        </w:rPr>
        <w:t>5. Hedge Protection</w:t>
      </w:r>
    </w:p>
    <w:p>
      <w:r>
        <w:rPr>
          <w:b/>
        </w:rPr>
        <w:t>Trigger Conditions (choose one):</w:t>
      </w:r>
    </w:p>
    <w:p>
      <w:r>
        <w:rPr>
          <w:b w:val="0"/>
          <w:sz w:val="21"/>
        </w:rPr>
        <w:t>- Percentage mode: floating loss &gt;= 40% of equity</w:t>
        <w:br/>
        <w:t>- Absolute mode: floating loss &gt;= 200 cents</w:t>
      </w:r>
    </w:p>
    <w:p>
      <w:r>
        <w:rPr>
          <w:b/>
        </w:rPr>
        <w:t>Hedge Execution:</w:t>
      </w:r>
    </w:p>
    <w:p>
      <w:r>
        <w:rPr>
          <w:b w:val="0"/>
          <w:sz w:val="21"/>
        </w:rPr>
        <w:t>Opposite position size = Total martingale lots x 60%. During hedge, ALL risk functions (Hard SL, Daily Loss Lock, Fast Loss Breaker, Trailing Stop) use total PnL (mart + hedge) instead of martingale PnL alone, preventing premature liquidation due to ignoring hedge profit.</w:t>
      </w:r>
    </w:p>
    <w:p>
      <w:r>
        <w:rPr>
          <w:b/>
        </w:rPr>
        <w:t>Release Methods:</w:t>
      </w:r>
    </w:p>
    <w:p>
      <w:r>
        <w:rPr>
          <w:b w:val="0"/>
          <w:sz w:val="21"/>
        </w:rPr>
        <w:t>- Fixed: Total PnL recovers cost + N cents target</w:t>
        <w:br/>
        <w:t>- Dynamic: N cents per layer increment</w:t>
      </w:r>
    </w:p>
    <w:p>
      <w:pPr>
        <w:pStyle w:val="Heading1"/>
      </w:pPr>
      <w:r>
        <w:rPr>
          <w:rFonts w:ascii="Arial" w:hAnsi="Arial"/>
        </w:rPr>
        <w:t>6. 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Risk Control</w:t>
            </w:r>
          </w:p>
        </w:tc>
        <w:tc>
          <w:tcPr>
            <w:tcW w:type="dxa" w:w="4819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Default Setting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Daily Loss Lock</w:t>
            </w:r>
          </w:p>
        </w:tc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Daily loss &gt; 8% of equity -&gt; stop trading, reset next day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Spread Protection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Spread &gt; 450 points -&gt; no new entries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Trading Hours</w:t>
            </w:r>
          </w:p>
        </w:tc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Unrestricted (0-24h), configurable time block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News Avoidance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Configurable Beijing-time pause interval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7. On-Chart Status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Row</w:t>
            </w:r>
          </w:p>
        </w:tc>
        <w:tc>
          <w:tcPr>
            <w:tcW w:type="dxa" w:w="4819"/>
            <w:shd w:fill="1a478a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Content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Line 1</w:t>
            </w:r>
          </w:p>
        </w:tc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EMA|Imb|SD|OB|FVG|LV|Brk -&gt; Direction Score/Max Pass/Fail | Layer Count Spacing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Line 2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Equity Balance DailyLock HardSL FastLoss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Line 3</w:t>
            </w:r>
          </w:p>
        </w:tc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MaxDD(%) FloatingLoss% Hedge Trigger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Line 4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TP(Layers) SL Trailing Params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Line 5</w:t>
            </w:r>
          </w:p>
        </w:tc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Hedge Status &amp; Details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Bottom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Summary: BullX BearX [Dir Score/Max Threshold] ATR-Ratio CCI-Value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8. Recommended Parameters (XAUUSD Cent Account, M5)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5a62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819"/>
            <w:shd w:fill="f5a623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20"/>
              </w:rPr>
              <w:t>Recommended Range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ATR Spacing Coefficient</w:t>
            </w:r>
          </w:p>
        </w:tc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0.02 - 0.08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Entry Score Threshold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30 - 40 (recommended: 35)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Max Layers</w:t>
            </w:r>
          </w:p>
        </w:tc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20 - 50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Basket Base TP (cents)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6 - 15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TP Increment per Layer (cents)</w:t>
            </w:r>
          </w:p>
        </w:tc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5 - 10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Lot Multiplier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1.15 - 1.30</w:t>
            </w:r>
          </w:p>
        </w:tc>
      </w:tr>
      <w:tr>
        <w:tc>
          <w:tcPr>
            <w:tcW w:type="dxa" w:w="4819"/>
            <w:shd w:fill="f0f4f8" w:val="clea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Hedge Trigger Floating Loss %</w:t>
            </w:r>
          </w:p>
        </w:tc>
        <w:tc>
          <w:tcPr>
            <w:tcW w:type="dxa" w:w="4819"/>
            <w:shd w:fill="f0f4f8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35 - 50%</w:t>
            </w:r>
          </w:p>
        </w:tc>
      </w:tr>
      <w:tr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Trailing Retention %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40 - 70%</w:t>
            </w:r>
          </w:p>
        </w:tc>
      </w:tr>
    </w:tbl>
    <w:p/>
    <w:p>
      <w:pPr>
        <w:jc w:val="center"/>
      </w:pPr>
      <w:r>
        <w:rPr>
          <w:color w:val="666666"/>
          <w:sz w:val="18"/>
        </w:rPr>
        <w:t>Golden Pixiu V1.11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