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Microsoft_Visio_Drawing.vsdx" ContentType="application/vnd.ms-visio.drawi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32"/>
        </w:rPr>
        <w:t>基于 OpenMP 的 Sobel 图像边缘检测</w:t>
        <w:br/>
        <w:t>并行程序设计与性能分析</w:t>
      </w:r>
    </w:p>
    <w:p>
      <w:pPr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28"/>
        </w:rPr>
        <w:t>学号：待填写    姓名：待填写</w:t>
      </w:r>
    </w:p>
    <w:p>
      <w:pPr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（学院、专业及班级：待填写）</w:t>
      </w:r>
    </w:p>
    <w:p>
      <w:pPr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实验日期：2026年10月25日</w:t>
      </w:r>
    </w:p>
    <w:p>
      <w:pPr>
        <w:widowControl/>
        <w:spacing w:line="276" w:lineRule="auto"/>
        <w:ind w:firstLine="0"/>
        <w:snapToGrid w:val="0"/>
      </w:pPr>
      <w:r>
        <w:rPr>
          <w:rFonts w:ascii="Noto Serif CJK SC" w:hAnsi="Noto Serif CJK SC" w:eastAsia="Noto Serif CJK SC"/>
          <w:b w:val="0"/>
          <w:sz w:val="21"/>
        </w:rPr>
        <w:t>摘要  为研究共享内存并行化对图像边缘检测的实际收益，采用 C++ 自行实现串行和 OpenMP Sobel 算法。实验固定使用一张4096×4096灰度合成图像，统一卷积核、零边界处理和幅值截断规则，按行静态划分任务。通过独立参考实现、手算样例及逐像素比较验证正确性。在4核等效CPU配额的云环境中，分别测量串行及1、2、4线程配置，每组预热3次、正式运行30次，仅统计核心计算时间。串行和4线程平均耗时分别为65.850 ms和34.074 ms，获得1.933倍加速。2线程到4线程的收益明显减小，4线程效率为48.31%。结果表明该实现能够受益于并行化，但增加线程数量并不产生等比例收益；云环境中的计时波动也限制了结论的外推范围。</w:t>
      </w:r>
    </w:p>
    <w:p>
      <w:pPr>
        <w:widowControl/>
        <w:spacing w:line="276" w:lineRule="auto"/>
        <w:ind w:firstLine="0"/>
        <w:snapToGrid w:val="0"/>
      </w:pPr>
      <w:r>
        <w:rPr>
          <w:rFonts w:ascii="Noto Serif CJK SC" w:hAnsi="Noto Serif CJK SC" w:eastAsia="Noto Serif CJK SC"/>
          <w:b w:val="0"/>
          <w:sz w:val="21"/>
        </w:rPr>
        <w:t>关键词  Sobel算子；图像边缘检测；OpenMP；数据并行；加速比；并行效率</w:t>
      </w:r>
    </w:p>
    <w:p>
      <w:pPr>
        <w:sectPr>
          <w:headerReference w:type="default" r:id="rId38"/>
          <w:footerReference w:type="default" r:id="rId39"/>
          <w:type w:val="continuous"/>
          <w:pgSz w:w="11906" w:h="16838"/>
          <w:pgMar w:top="1020" w:right="964" w:bottom="1020" w:left="964" w:header="851" w:footer="992" w:gutter="0"/>
          <w:cols w:num="1" w:space="425"/>
        </w:sectPr>
        <w:snapToGrid w:val="0"/>
      </w:pP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1 引言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边缘是图像中灰度发生明显变化的区域，可为轮廓识别和后续视觉分析提供信息。Sobel算子通过两个3×3卷积核估计水平和垂直方向的一阶梯度，再合成梯度幅值[1]。像素数增大时，重复的局部计算构成了适合并行处理的工作负载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对固定输入，每个输出像素仅依赖输入邻域，不依赖其他输出像素。因此可以在共享内存中按行划分任务。本文只回答串行与并行的时间差异，以及线程数对时间、加速比和效率的影响；不改变图像尺寸，不比较其他算子或调度策略。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2 程序总体设计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程序分为图像I/O、串行核心、并行核心、正确性验证和性能统计五个模块。采用标准二进制P5 PGM格式保存8位灰度像素，直接在C++中读写，不依赖OpenCV。PNG用于展示，绘图与报告脚本不参与核心计时。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整体流程为：读取固定输入→分配输入和输出缓冲区→验证串行及各线程输出→预热→交错执行四种配置并计时→保存原始CSV→计算统计量并生成图表。图像读写、内存分配、结果比较及绘图均位于计时区间之外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serial.cpp和parallel.cpp分别提供串行与并行入口；sobel.hpp保存共同的单行计算逻辑；io.cpp负责PGM读写；verify.cpp实现独立参考卷积；benchmark.cpp负责正式计时；run_experiment.py固定输入、收集环境与汇总数据。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3 串行与并行算法设计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3.1 Sobel核心计算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采用如下两个卷积核，图像坐标中y向下递增，垂直核的符号不影响幅值[1]：</w:t>
      </w:r>
    </w:p>
    <w:p>
      <w:pPr>
        <w:widowControl/>
        <w:spacing w:line="276" w:lineRule="auto"/>
        <w:ind w:firstLine="0"/>
        <w:snapToGrid w:val="0"/>
      </w:pPr>
      <w:r>
        <w:rPr>
          <w:rFonts w:ascii="Noto Serif CJK SC" w:hAnsi="Noto Serif CJK SC" w:eastAsia="Noto Serif CJK SC"/>
          <w:b w:val="0"/>
          <w:sz w:val="18"/>
        </w:rPr>
        <w:t>Kx = [−1  0  1; −2  0  2; −1  0  1]</w:t>
        <w:br/>
        <w:t>Ky = [−1 −2 −1;  0  0  0;  1  2  1]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对内部像素累加得到Gx与Gy，随后执行以下输出规则：</w:t>
      </w:r>
    </w:p>
    <w:p>
      <w:pPr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21"/>
        </w:rPr>
        <w:t>G = √(Gx² + Gy²)</w:t>
        <w:br/>
        <w:t>output = floor(min(255, G))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最外层一圈输出直接置0，不计算越界邻域；这与对输入补零后再计算边界不同。梯度以int存储，单方向绝对值不超过1020，平方和不会溢出32位有符号整数。开平方使用double，饱和后转换成uint8_t，不做归一化或阈值二值化。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3.2 串行实现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外层按y从0到H−1逐行遍历，内层遍历有效列，对每行调用共同的计算函数并写入对应输出行。每次调用覆盖整个输出，包括边界。时间复杂度为O(WH)，输入和输出缓冲区的空间复杂度均为O(WH)。编译器仍可进行常规优化，串行程序不创建OpenMP工作线程。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3.3 OpenMP实现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在外层行循环上使用parallel for、schedule(static)和num_threads(p)。输入、输出对象为shared；高度为firstprivate；循环索引以及单行函数内的梯度、指针和列索引均为线程局部变量。default(none)要求显式声明共享关系。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各行的像素数量和计算量基本一致，静态调度可将连续行块分给线程，避免动态分派成本。输入仅被读取，各线程写入不同输出行，不需要锁或原子操作；parallel for末尾的隐式屏障确保计时结束时所有线程均完成。串行和并行复用单行公式，避免算法差异干扰性能对比。</w:t>
      </w:r>
    </w:p>
    <w:p>
      <w:pPr>
        <w:sectPr>
          <w:type w:val="continuous"/>
          <w:pgSz w:w="11906" w:h="16838"/>
          <w:pgMar w:top="1020" w:right="964" w:bottom="1020" w:left="964" w:header="851" w:footer="992" w:gutter="0"/>
          <w:cols w:num="2" w:space="425"/>
        </w:sectPr>
        <w:snapToGrid w:val="0"/>
      </w:pP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4 实验环境与实验方法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表1 实验环境与固定配置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Table 1 Experimental environment and fixed configuration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项目</w:t>
            </w:r>
          </w:p>
        </w:tc>
        <w:tc>
          <w:tcPr>
            <w:tcW w:type="dxa" w:w="4989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实测配置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处理器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Intel Xeon Platinum 8573C（KVM虚拟环境）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可见CPU / CPU配额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5个逻辑CPU；cpu.max = 400000 100000，等效4核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操作系统 / 架构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Debian GNU/Linux 13 / x86_64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内存限制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32 GiB（cgroup memory.max）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编译器 / OpenMP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G++ 14.2.0；libgomp；-fopenmp，_OPENMP=201511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统一编译选项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-O3 -std=c++17 -fopenmp -Wall -Wextra -Wpedantic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输入图像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4096×4096，8位灰度，自行生成且全实验固定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线程配置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1、2、4；实验一固定4线程</w:t>
            </w:r>
          </w:p>
        </w:tc>
      </w:tr>
      <w:tr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运行策略</w:t>
            </w:r>
          </w:p>
        </w:tc>
        <w:tc>
          <w:tcPr>
            <w:tcW w:type="dxa" w:w="4989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关闭动态线程；close绑定；cores位置；PASSIVE等待</w:t>
            </w:r>
          </w:p>
        </w:tc>
      </w:tr>
      <w:tr>
        <w:tc>
          <w:tcPr>
            <w:tcW w:type="dxa" w:w="4989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计时与重复</w:t>
            </w:r>
          </w:p>
        </w:tc>
        <w:tc>
          <w:tcPr>
            <w:tcW w:type="dxa" w:w="4989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omp_get_wtime；每组预热3次、测量30次</w:t>
            </w:r>
          </w:p>
        </w:tc>
      </w:tr>
    </w:tbl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4.1 固定输入与可复现性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因未提供自然图像，本实验使用脚本生成固定灰度合成场景：线性灰度背景、亮矩形、暗圆、三角形和条纹。它能展示多个方向的轮廓与缓慢灰度变化，不代表自然图像数据集。原始PGM和预览PNG均随提交保留，所有计时组读取同一份PGM。</w:t>
      </w:r>
    </w:p>
    <w:p>
      <w:pPr>
        <w:widowControl/>
        <w:spacing w:line="276" w:lineRule="auto"/>
        <w:ind w:firstLine="0"/>
        <w:snapToGrid w:val="0"/>
      </w:pPr>
      <w:r>
        <w:rPr>
          <w:rFonts w:ascii="Noto Serif CJK SC" w:hAnsi="Noto Serif CJK SC" w:eastAsia="Noto Serif CJK SC"/>
          <w:b w:val="0"/>
          <w:sz w:val="18"/>
        </w:rPr>
        <w:t>输入PGM的SHA-256：7630efcd74453761e2c346189ee5ca6c2e348c7d4854f0c89ab10aabee4e0ced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4.2 两项性能实验与计时口径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实验一仅比较串行与预先选定的4线程配置。实验二比较OpenMP的1、2、4线程配置，统一以串行均值为基准。容器有效CPU配额为4核，因此不把8线程作为主测试对象。四组数据来自同一次基准运行，实验一复用其中的串行和4线程数据，不另行改变实验条件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在正式测量前，为各配置预热3次并核验实际线程团队数量。正式阶段共30轮，每轮以固定随机种子20261025打乱四种配置的执行顺序，以减轻顺序与热状态偏差。每个样本只计一次完整核心调用，包括边界写入、OpenMP线程唤醒、循环分配和末尾同步；不包含文件读写、内存分配或正确性比较。预热后测量反映稳态执行，不能据此估计冷启动开销[2]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执行时间取30个样本的算术平均值，离散程度取样本标准差（分母n−1）。加速比Sp=Tserial/Tparallel(p)，效率Ep=Sp/p。图中误差线表示标准差，不是置信区间。原始计时值、运行顺序、环境信息及输入校验值均保存，未删除慢样本。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4.3 正确性验收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verify.cpp使用独立的双层3×3系数循环作为参考，覆盖7种尺寸（含1×1、窄图和非方图）、5类输入（全零、常数、水平斜坡、阶跃、固定种子随机值）、串行及3种线程配置，共140项逐像素比较。另用5×5水平斜坡手算验证中心Gx=24、Gy=0、输出=24。普通构建与AddressSanitizer/UndefinedBehaviorSanitizer构建均通过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对完整4096×4096输入，各配置预热结果与串行输出相同，120次正式计时调用的输出逐字节比较均为0差异像素。所有图像尺寸一致，边界均为0。独立参考和手算用于避免“两个版本共享同一错误但仍一致”的问题；可视图只提供直观补充。</w:t>
      </w:r>
    </w:p>
    <w:p>
      <w:pPr>
        <w:sectPr>
          <w:pgSz w:w="11906" w:h="16838"/>
          <w:pgMar w:top="1020" w:right="964" w:bottom="1020" w:left="964" w:header="851" w:footer="992" w:gutter="0"/>
          <w:cols w:num="1" w:space="425"/>
        </w:sectPr>
        <w:snapToGrid w:val="0"/>
      </w:pP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5 实验结果与分析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5.1 实验一：串行与4线程对比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表2 串行与4线程的核心计算性能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Table 2 Core computation performance: serial versus four threads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实现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次数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均值/ms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标准差/ms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加速比</w:t>
            </w:r>
          </w:p>
        </w:tc>
      </w:tr>
      <w:tr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串行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30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65.850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10.342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1.000</w:t>
            </w:r>
          </w:p>
        </w:tc>
      </w:tr>
      <w:tr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OpenMP 4线程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30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34.074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6.033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1.933</w:t>
            </w:r>
          </w:p>
        </w:tc>
      </w:tr>
    </w:tbl>
    <w:p>
      <w:pPr>
        <w:spacing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20000" cy="3143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一_时间对比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43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图1 串行与4线程耗时对比（误差线为样本标准差）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Fig. 1 Serial and four-thread runtime (sample standard deviation)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如表2及图1所示，4线程将核心平均时间由65.850 ms降至34.074 ms，减少48.25%，加速比为1.933。因此在当前输入和运行条件下，并行实现确实提高了核心计算效率。该结果不包含I/O，不能直接当作端到端程序的加速比。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串行样本范围为57.450～111.574 ms，4线程为25.615～55.297 ms，说明存在运行波动。1线程OpenMP均值为64.771 ms，略低于串行，差异约1.64%，小于组内波动。不能将这种微小差异解释成单线程并行化的稳定收益，也不能由此断言线程管理没有开销。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OpenMP需要执行线程团队管理、任务分配和屏障同步，这些开销已计入并行核心时间。固定大图能够提供足够的计算工作来摊薄开销；本实验未单独拆分这些成本，也未改变图像尺寸，因此不对小图或冷启动的性能作额外结论。</w:t>
      </w:r>
    </w:p>
    <w:p>
      <w:pPr>
        <w:sectPr>
          <w:pgSz w:w="11906" w:h="16838"/>
          <w:pgMar w:top="1020" w:right="964" w:bottom="1020" w:left="964" w:header="851" w:footer="992" w:gutter="0"/>
          <w:cols w:num="1" w:space="425"/>
        </w:sectPr>
        <w:snapToGrid w:val="0"/>
      </w:pP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1"/>
        </w:rPr>
        <w:t>5.2 实验二：线程数量的影响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表3 不同线程数的性能（统一以串行均值为基准）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Table 3 Performance by thread count, relative to the serial mean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线程数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均值/ms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标准差/ms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加速比</w:t>
            </w:r>
          </w:p>
        </w:tc>
        <w:tc>
          <w:tcPr>
            <w:tcW w:type="dxa" w:w="1996"/>
            <w:tcBorders>
              <w:top w:val="single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效率/%</w:t>
            </w:r>
          </w:p>
        </w:tc>
      </w:tr>
      <w:tr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64.771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7.304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1.017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101.67</w:t>
            </w:r>
          </w:p>
        </w:tc>
      </w:tr>
      <w:tr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2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37.097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7.501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1.775</w:t>
            </w:r>
          </w:p>
        </w:tc>
        <w:tc>
          <w:tcPr>
            <w:tcW w:type="dxa" w:w="1996"/>
            <w:tcBorders>
              <w:top w:val="nil" w:sz="4"/>
              <w:left w:val="nil" w:sz="4"/>
              <w:bottom w:val="nil" w:sz="4"/>
              <w:right w:val="nil" w:sz="4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88.75</w:t>
            </w:r>
          </w:p>
        </w:tc>
      </w:tr>
      <w:tr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4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34.074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6.033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1.933</w:t>
            </w:r>
          </w:p>
        </w:tc>
        <w:tc>
          <w:tcPr>
            <w:tcW w:type="dxa" w:w="1996"/>
            <w:tcBorders>
              <w:top w:val="nil" w:sz="8"/>
              <w:left w:val="nil" w:sz="8"/>
              <w:bottom w:val="single" w:sz="8"/>
              <w:right w:val="nil" w:sz="8"/>
            </w:tcBorders>
          </w:tcPr>
          <w:p>
            <w:pPr>
              <w:spacing w:after="60" w:before="60" w:line="240" w:lineRule="auto"/>
              <w:jc w:val="center"/>
              <w:snapToGrid w:val="0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48.31</w:t>
            </w:r>
          </w:p>
        </w:tc>
      </w:tr>
    </w:tbl>
    <w:p>
      <w:pPr>
        <w:spacing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4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二_线程性能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图2 线程数量与时间、加速比的关系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Fig. 2 Thread count versus runtime and speedup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由表3及图2，OpenMP从1线程增至2线程，平均耗时由64.771 ms降至37.097 ms；增至4线程后进一步降至34.074 ms。线程增加时平均时间下降，但2到4线程只进一步减少8.15%，未达到线程翻倍、时间减半的理想情况。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相对于串行，加速比从1.017增至1.775和1.933，在所测线程范围内持续增加，但增长明显放缓。2线程效率为88.75%，4线程效率降至48.31%。1线程的效率约101.67%，略超100%源于分开测得的均值及波动，并不表示超出物理限制的并行收益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静态分配使各线程行数基本均衡，但线程团队切换和同步仍有固定成本，输入邻域读取和输出写入也会竞争缓存与内存资源。云主机的资源共享、虚拟化调度和CPU频率变化可能增加波动。这些均是可解释收益递减的候选因素；本实验没有硬件计数器或分项开销测量，不能确定各因素的贡献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基准计时前后cgroup的nr_throttled均为13，throttled_usec均为380293，本次计时窗口未观察到新增配额节流。因此，虽然配额决定主实验最多使用4线程，也不能将4线程扩展受限直接归因于本次触发配额限流。虚拟环境的其他竞争来源仍未被排除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结论只覆盖1、2、4线程。在这一范围内已出现收益递减，但未测量更多线程，不能把“继续增加必然变慢”当作实测事实。4线程在当前均值上最快；2线程以较少的线程获得较高效率，体现了资源利用率和最短时间之间的取舍。</w:t>
      </w:r>
    </w:p>
    <w:p>
      <w:pPr>
        <w:spacing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20000" cy="187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输入与边缘结果对比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7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图3 固定输入及串行、4线程边缘结果</w:t>
      </w:r>
    </w:p>
    <w:p>
      <w:pPr>
        <w:keepNext/>
        <w:widowControl/>
        <w:spacing w:line="276" w:lineRule="auto"/>
        <w:ind w:firstLine="0"/>
        <w:jc w:val="center"/>
        <w:snapToGrid w:val="0"/>
      </w:pPr>
      <w:r>
        <w:rPr>
          <w:rFonts w:ascii="Noto Serif CJK SC" w:hAnsi="Noto Serif CJK SC" w:eastAsia="Noto Serif CJK SC"/>
          <w:b w:val="0"/>
          <w:sz w:val="18"/>
        </w:rPr>
        <w:t>Fig. 3 Fixed input and serial/four-thread edge outputs</w:t>
      </w:r>
    </w:p>
    <w:p>
      <w:pPr>
        <w:sectPr>
          <w:pgSz w:w="11906" w:h="16838"/>
          <w:pgMar w:top="1020" w:right="964" w:bottom="1020" w:left="964" w:header="851" w:footer="992" w:gutter="0"/>
          <w:cols w:num="1" w:space="425"/>
        </w:sectPr>
        <w:snapToGrid w:val="0"/>
      </w:pP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6 总结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本文完成了C++串行与OpenMP Sobel实现，采用按行静态调度、独立输出行和统一幅值规则。独立参考测试、手算检查、内存检查以及完整图像逐像素比较均通过。固定输入、相同编译选项和核心计时口径保证了两项实验的基本可比性。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当前环境下，4线程相对串行取得1.933倍平均加速；从2线程增加到4线程仍有收益，但效率从88.75%降至48.31%。因此，数据并行可以缩短Sobel核心时间，线程数增加却不会带来等比例提升。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局限在于只使用一张合成灰度图、一个云端运行环境和一套静态调度策略。计时具有波动，未进行硬件事件归因；不测量I/O端到端时间，也没有测量4线程以上的性能。结果不能直接推广到自然图像集合、其他处理器或其他算法。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7 参考文献</w:t>
      </w:r>
    </w:p>
    <w:p>
      <w:pPr>
        <w:widowControl/>
        <w:spacing w:line="276" w:lineRule="auto"/>
        <w:ind w:firstLine="0"/>
        <w:snapToGrid w:val="0"/>
      </w:pPr>
      <w:r>
        <w:rPr>
          <w:rFonts w:ascii="Noto Serif CJK SC" w:hAnsi="Noto Serif CJK SC" w:eastAsia="Noto Serif CJK SC"/>
          <w:b w:val="0"/>
          <w:sz w:val="18"/>
        </w:rPr>
        <w:t>[1] Huamán A. Sobel derivatives[EB/OL]. OpenCV 4.10.0 documentation, 2024[2026-10-25]. https://github.com/opencv/opencv/blob/4.10.0/doc/tutorials/imgproc/imgtrans/sobel_derivatives/sobel_derivatives.markdown.</w:t>
      </w:r>
    </w:p>
    <w:p>
      <w:pPr>
        <w:widowControl/>
        <w:spacing w:line="276" w:lineRule="auto"/>
        <w:ind w:firstLine="0"/>
        <w:snapToGrid w:val="0"/>
      </w:pPr>
      <w:r>
        <w:rPr>
          <w:rFonts w:ascii="Noto Serif CJK SC" w:hAnsi="Noto Serif CJK SC" w:eastAsia="Noto Serif CJK SC"/>
          <w:b w:val="0"/>
          <w:sz w:val="18"/>
        </w:rPr>
        <w:t>[2] Free Software Foundation. GNU Offloading and Multi Processing Runtime Library: Runtime Library Routines; Environment Variables[EB/OL]. GCC 14.2.0, 2024[2026-10-25]. https://github.com/gcc-mirror/gcc/blob/releases/gcc-14.2.0/libgomp/libgomp.texi.</w:t>
      </w:r>
    </w:p>
    <w:p>
      <w:pPr>
        <w:keepNext/>
        <w:spacing w:before="200" w:after="100"/>
        <w:snapToGrid w:val="0"/>
      </w:pPr>
      <w:r>
        <w:rPr>
          <w:rFonts w:ascii="Noto Sans CJK SC" w:hAnsi="Noto Sans CJK SC" w:eastAsia="Noto Sans CJK SC"/>
          <w:b/>
          <w:sz w:val="24"/>
        </w:rPr>
        <w:t>附：复现与文件说明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代码目录含Makefile与run_experiment.py；在代码目录执行make test验证核心，再执行python3 run_experiment.py可重新编译、测试、生成固定输入并完成两项实验。脚本将覆盖实验结果文件，因此重新测量后应同步更新报告。报告生成脚本保存在仓库根目录temp/build_report.py。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21"/>
        </w:rPr>
        <w:t>实验结果目录保存原始120条计时记录、汇总CSV、环境元数据、输入图像、输出图像与图表。根目录temp仅存放原始模板、构建产物、文档生成工具及中间文件，不属于课程提交正文。</w:t>
      </w:r>
    </w:p>
    <w:p>
      <w:pPr>
        <w:widowControl/>
        <w:spacing w:line="276" w:lineRule="auto"/>
        <w:ind w:firstLine="420"/>
        <w:snapToGrid w:val="0"/>
      </w:pPr>
      <w:r>
        <w:rPr>
          <w:rFonts w:ascii="Noto Serif CJK SC" w:hAnsi="Noto Serif CJK SC" w:eastAsia="Noto Serif CJK SC"/>
          <w:b w:val="0"/>
          <w:sz w:val="18"/>
        </w:rPr>
        <w:t>学号、姓名、学院与班级尚未提供，保留“待填写”。代码与报告包含AI辅助生成内容，需由提交者结合课程要求审阅、理解并据实署名。原模板中的无关案例与“全部由本人独立完成”声明均已替换。</w:t>
      </w:r>
    </w:p>
    <w:sectPr w:rsidR="0074537E">
      <w:pgSz w:w="11906" w:h="16838"/>
      <w:pgMar w:top="1020" w:right="964" w:bottom="1020" w:left="964" w:header="851" w:footer="992" w:gutter="0"/>
      <w:cols w:num="2"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9202665"/>
      <w:docPartObj>
        <w:docPartGallery w:val="Page Numbers (Bottom of Page)"/>
        <w:docPartUnique/>
      </w:docPartObj>
    </w:sdtPr>
    <w:sdtContent>
      <w:p w14:paraId="462DC5A1" w14:textId="77777777" w:rsidR="0074537E" w:rsidRDefault="00C73DB7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5038ABA" w14:textId="77777777" w:rsidR="0074537E" w:rsidRDefault="0074537E">
    <w:pPr>
      <w:pStyle w:val="ab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F715130"/>
    <w:multiLevelType w:val="singleLevel"/>
    <w:tmpl w:val="AF715130"/>
    <w:lvl w:ilvl="0">
      <w:start w:val="1"/>
      <w:numFmt w:val="decimal"/>
      <w:suff w:val="space"/>
      <w:lvlText w:val="%1)"/>
      <w:lvlJc w:val="left"/>
      <w:rPr>
        <w:b w:val="0"/>
        <w:bCs/>
      </w:rPr>
    </w:lvl>
  </w:abstractNum>
  <w:abstractNum w:abstractNumId="1" w15:restartNumberingAfterBreak="0">
    <w:nsid w:val="CF952371"/>
    <w:multiLevelType w:val="singleLevel"/>
    <w:tmpl w:val="CF952371"/>
    <w:lvl w:ilvl="0">
      <w:start w:val="1"/>
      <w:numFmt w:val="decimal"/>
      <w:suff w:val="space"/>
      <w:lvlText w:val="%1)"/>
      <w:lvlJc w:val="left"/>
      <w:rPr>
        <w:b w:val="0"/>
        <w:bCs/>
      </w:rPr>
    </w:lvl>
  </w:abstractNum>
  <w:abstractNum w:abstractNumId="2" w15:restartNumberingAfterBreak="0">
    <w:nsid w:val="103035D0"/>
    <w:multiLevelType w:val="multilevel"/>
    <w:tmpl w:val="42AAC306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4EF0C1E"/>
    <w:multiLevelType w:val="multilevel"/>
    <w:tmpl w:val="24EF0C1E"/>
    <w:lvl w:ilvl="0">
      <w:start w:val="1"/>
      <w:numFmt w:val="decimalEnclosedCircle"/>
      <w:lvlText w:val="%1"/>
      <w:lvlJc w:val="left"/>
      <w:pPr>
        <w:ind w:left="785" w:hanging="360"/>
      </w:pPr>
      <w:rPr>
        <w:rFonts w:ascii="Cambria Math" w:hAnsi="Cambria Math" w:cs="Times New Roman" w:hint="default"/>
        <w:sz w:val="21"/>
      </w:rPr>
    </w:lvl>
    <w:lvl w:ilvl="1">
      <w:start w:val="1"/>
      <w:numFmt w:val="lowerLetter"/>
      <w:lvlText w:val="%2)"/>
      <w:lvlJc w:val="left"/>
      <w:pPr>
        <w:ind w:left="1589" w:hanging="440"/>
      </w:pPr>
    </w:lvl>
    <w:lvl w:ilvl="2">
      <w:start w:val="1"/>
      <w:numFmt w:val="lowerRoman"/>
      <w:lvlText w:val="%3."/>
      <w:lvlJc w:val="right"/>
      <w:pPr>
        <w:ind w:left="2029" w:hanging="440"/>
      </w:pPr>
    </w:lvl>
    <w:lvl w:ilvl="3">
      <w:start w:val="1"/>
      <w:numFmt w:val="decimal"/>
      <w:lvlText w:val="%4."/>
      <w:lvlJc w:val="left"/>
      <w:pPr>
        <w:ind w:left="2469" w:hanging="440"/>
      </w:pPr>
    </w:lvl>
    <w:lvl w:ilvl="4">
      <w:start w:val="1"/>
      <w:numFmt w:val="lowerLetter"/>
      <w:lvlText w:val="%5)"/>
      <w:lvlJc w:val="left"/>
      <w:pPr>
        <w:ind w:left="2909" w:hanging="440"/>
      </w:pPr>
    </w:lvl>
    <w:lvl w:ilvl="5">
      <w:start w:val="1"/>
      <w:numFmt w:val="lowerRoman"/>
      <w:lvlText w:val="%6."/>
      <w:lvlJc w:val="right"/>
      <w:pPr>
        <w:ind w:left="3349" w:hanging="440"/>
      </w:pPr>
    </w:lvl>
    <w:lvl w:ilvl="6">
      <w:start w:val="1"/>
      <w:numFmt w:val="decimal"/>
      <w:lvlText w:val="%7."/>
      <w:lvlJc w:val="left"/>
      <w:pPr>
        <w:ind w:left="3789" w:hanging="440"/>
      </w:pPr>
    </w:lvl>
    <w:lvl w:ilvl="7">
      <w:start w:val="1"/>
      <w:numFmt w:val="lowerLetter"/>
      <w:lvlText w:val="%8)"/>
      <w:lvlJc w:val="left"/>
      <w:pPr>
        <w:ind w:left="4229" w:hanging="440"/>
      </w:pPr>
    </w:lvl>
    <w:lvl w:ilvl="8">
      <w:start w:val="1"/>
      <w:numFmt w:val="lowerRoman"/>
      <w:lvlText w:val="%9."/>
      <w:lvlJc w:val="right"/>
      <w:pPr>
        <w:ind w:left="4669" w:hanging="440"/>
      </w:pPr>
    </w:lvl>
  </w:abstractNum>
  <w:abstractNum w:abstractNumId="4" w15:restartNumberingAfterBreak="0">
    <w:nsid w:val="29EA3D6B"/>
    <w:multiLevelType w:val="multilevel"/>
    <w:tmpl w:val="CB82F41A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4382028A"/>
    <w:multiLevelType w:val="hybridMultilevel"/>
    <w:tmpl w:val="365600AC"/>
    <w:lvl w:ilvl="0" w:tplc="166E000C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4F6340E8"/>
    <w:multiLevelType w:val="multilevel"/>
    <w:tmpl w:val="A7469BC4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5FE63267"/>
    <w:multiLevelType w:val="hybridMultilevel"/>
    <w:tmpl w:val="134456E2"/>
    <w:lvl w:ilvl="0" w:tplc="7AC44AAC">
      <w:start w:val="1"/>
      <w:numFmt w:val="decimalEnclosedCircle"/>
      <w:lvlText w:val="%1"/>
      <w:lvlJc w:val="left"/>
      <w:pPr>
        <w:ind w:left="780" w:hanging="360"/>
      </w:pPr>
      <w:rPr>
        <w:rFonts w:ascii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6BB67F40"/>
    <w:multiLevelType w:val="hybridMultilevel"/>
    <w:tmpl w:val="907081F0"/>
    <w:lvl w:ilvl="0" w:tplc="8D8804B2">
      <w:start w:val="1"/>
      <w:numFmt w:val="decimal"/>
      <w:lvlText w:val="[%1]"/>
      <w:lvlJc w:val="right"/>
      <w:pPr>
        <w:ind w:left="227" w:hanging="5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92258759">
    <w:abstractNumId w:val="3"/>
  </w:num>
  <w:num w:numId="2" w16cid:durableId="832263065">
    <w:abstractNumId w:val="1"/>
  </w:num>
  <w:num w:numId="3" w16cid:durableId="1119569011">
    <w:abstractNumId w:val="0"/>
  </w:num>
  <w:num w:numId="4" w16cid:durableId="23872727">
    <w:abstractNumId w:val="4"/>
  </w:num>
  <w:num w:numId="5" w16cid:durableId="1715956611">
    <w:abstractNumId w:val="6"/>
  </w:num>
  <w:num w:numId="6" w16cid:durableId="749346990">
    <w:abstractNumId w:val="2"/>
  </w:num>
  <w:num w:numId="7" w16cid:durableId="702363719">
    <w:abstractNumId w:val="5"/>
  </w:num>
  <w:num w:numId="8" w16cid:durableId="1703093449">
    <w:abstractNumId w:val="7"/>
  </w:num>
  <w:num w:numId="9" w16cid:durableId="541631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/>
    <w:lsdException w:name="annotation text" w:semiHidden="1" w:unhideWhenUsed="1"/>
    <w:lsdException w:name="header" w:semiHidden="1" w:uiPriority="0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iPriority="0"/>
    <w:lsdException w:name="endnote text" w:semiHidden="1" w:uiPriority="0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276" w:lineRule="auto" w:after="80"/>
      <w:jc w:val="both"/>
    </w:pPr>
    <w:rPr>
      <w:rFonts w:ascii="Noto Serif CJK SC" w:hAnsi="Noto Serif CJK SC" w:eastAsia="Noto Serif CJK SC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qFormat/>
    <w:pPr>
      <w:ind w:firstLineChars="200" w:firstLine="200"/>
    </w:pPr>
    <w:rPr>
      <w:rFonts w:ascii="Cambria" w:eastAsia="黑体" w:hAnsi="Cambria"/>
      <w:sz w:val="20"/>
      <w:szCs w:val="20"/>
    </w:rPr>
  </w:style>
  <w:style w:type="paragraph" w:styleId="a4">
    <w:name w:val="Document Map"/>
    <w:basedOn w:val="a"/>
    <w:semiHidden/>
    <w:pPr>
      <w:shd w:val="clear" w:color="auto" w:fill="000080"/>
    </w:pPr>
  </w:style>
  <w:style w:type="paragraph" w:styleId="a5">
    <w:name w:val="Body Text"/>
    <w:basedOn w:val="a"/>
    <w:semiHidden/>
    <w:pPr>
      <w:spacing w:line="276" w:lineRule="auto" w:after="80"/>
    </w:pPr>
    <w:rPr>
      <w:rFonts w:ascii="Noto Serif CJK SC" w:hAnsi="Noto Serif CJK SC" w:eastAsia="Noto Serif CJK SC"/>
      <w:b/>
      <w:bCs/>
      <w:sz w:val="21"/>
    </w:rPr>
  </w:style>
  <w:style w:type="paragraph" w:styleId="a6">
    <w:name w:val="Body Text Indent"/>
    <w:basedOn w:val="a"/>
    <w:link w:val="a7"/>
    <w:semiHidden/>
    <w:pPr>
      <w:spacing w:line="276" w:lineRule="auto" w:after="80"/>
      <w:ind w:firstLineChars="171" w:firstLine="359"/>
    </w:pPr>
    <w:rPr>
      <w:rFonts w:ascii="Noto Serif CJK SC" w:hAnsi="Noto Serif CJK SC" w:eastAsia="Noto Serif CJK SC"/>
      <w:sz w:val="21"/>
    </w:rPr>
  </w:style>
  <w:style w:type="character" w:customStyle="1" w:styleId="a7">
    <w:name w:val="正文文本缩进 字符"/>
    <w:link w:val="a6"/>
    <w:semiHidden/>
    <w:rPr>
      <w:kern w:val="2"/>
      <w:sz w:val="21"/>
      <w:szCs w:val="24"/>
    </w:rPr>
  </w:style>
  <w:style w:type="paragraph" w:styleId="a8">
    <w:name w:val="endnote text"/>
    <w:basedOn w:val="a"/>
    <w:semiHidden/>
    <w:pPr>
      <w:snapToGrid w:val="0"/>
      <w:jc w:val="left"/>
    </w:pPr>
  </w:style>
  <w:style w:type="paragraph" w:styleId="a9">
    <w:name w:val="Balloon Text"/>
    <w:basedOn w:val="a"/>
    <w:link w:val="aa"/>
    <w:uiPriority w:val="99"/>
    <w:unhideWhenUsed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Pr>
      <w:kern w:val="2"/>
      <w:sz w:val="18"/>
      <w:szCs w:val="18"/>
    </w:rPr>
  </w:style>
  <w:style w:type="paragraph" w:styleId="ab">
    <w:name w:val="footer"/>
    <w:basedOn w:val="a"/>
    <w:link w:val="ac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link w:val="ab"/>
    <w:uiPriority w:val="99"/>
    <w:rPr>
      <w:kern w:val="2"/>
      <w:sz w:val="18"/>
      <w:szCs w:val="18"/>
    </w:rPr>
  </w:style>
  <w:style w:type="paragraph" w:styleId="ad">
    <w:name w:val="header"/>
    <w:basedOn w:val="a"/>
    <w:semiHidden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Subtitle"/>
    <w:basedOn w:val="a"/>
    <w:next w:val="a"/>
    <w:qFormat/>
    <w:pPr>
      <w:overflowPunct w:val="0"/>
      <w:spacing w:before="320"/>
      <w:outlineLvl w:val="0"/>
    </w:pPr>
    <w:rPr>
      <w:rFonts w:eastAsia="黑体"/>
      <w:sz w:val="36"/>
      <w:szCs w:val="20"/>
    </w:rPr>
  </w:style>
  <w:style w:type="paragraph" w:styleId="af">
    <w:name w:val="footnote text"/>
    <w:basedOn w:val="a"/>
    <w:semiHidden/>
    <w:pPr>
      <w:snapToGrid w:val="0"/>
      <w:jc w:val="left"/>
    </w:pPr>
    <w:rPr>
      <w:sz w:val="18"/>
      <w:szCs w:val="18"/>
    </w:rPr>
  </w:style>
  <w:style w:type="table" w:styleId="af0">
    <w:name w:val="Table Grid"/>
    <w:basedOn w:val="a1"/>
    <w:uiPriority w:val="39"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uiPriority w:val="22"/>
    <w:qFormat/>
    <w:rPr>
      <w:b/>
      <w:bCs/>
    </w:rPr>
  </w:style>
  <w:style w:type="character" w:styleId="af2">
    <w:name w:val="endnote reference"/>
    <w:semiHidden/>
    <w:rPr>
      <w:vertAlign w:val="superscript"/>
    </w:rPr>
  </w:style>
  <w:style w:type="character" w:styleId="af3">
    <w:name w:val="page number"/>
    <w:semiHidden/>
  </w:style>
  <w:style w:type="character" w:styleId="af4">
    <w:name w:val="Hyperlink"/>
    <w:semiHidden/>
    <w:rPr>
      <w:color w:val="0000FF"/>
      <w:u w:val="single"/>
    </w:rPr>
  </w:style>
  <w:style w:type="character" w:styleId="af5">
    <w:name w:val="footnote reference"/>
    <w:semiHidden/>
    <w:rPr>
      <w:vertAlign w:val="superscript"/>
    </w:rPr>
  </w:style>
  <w:style w:type="paragraph" w:customStyle="1" w:styleId="af6">
    <w:name w:val="摘要"/>
    <w:basedOn w:val="a5"/>
    <w:next w:val="a"/>
    <w:pPr>
      <w:tabs>
        <w:tab w:val="left" w:pos="798"/>
      </w:tabs>
      <w:overflowPunct w:val="0"/>
      <w:adjustRightInd w:val="0"/>
    </w:pPr>
    <w:rPr>
      <w:rFonts w:eastAsia="楷体_GB2312"/>
      <w:b w:val="0"/>
      <w:bCs w:val="0"/>
      <w:sz w:val="18"/>
      <w:szCs w:val="20"/>
    </w:rPr>
  </w:style>
  <w:style w:type="paragraph" w:customStyle="1" w:styleId="af7">
    <w:name w:val="关键词"/>
    <w:basedOn w:val="af6"/>
    <w:next w:val="a"/>
    <w:pPr>
      <w:ind w:left="429" w:hangingChars="429" w:hanging="429"/>
    </w:pPr>
  </w:style>
  <w:style w:type="paragraph" w:customStyle="1" w:styleId="DepartCorrespond">
    <w:name w:val="Depart.Correspond"/>
    <w:basedOn w:val="a"/>
    <w:pPr>
      <w:widowControl/>
      <w:ind w:left="66" w:hangingChars="66" w:hanging="66"/>
    </w:pPr>
    <w:rPr>
      <w:iCs/>
      <w:kern w:val="0"/>
      <w:sz w:val="16"/>
      <w:szCs w:val="20"/>
    </w:rPr>
  </w:style>
  <w:style w:type="paragraph" w:styleId="af8">
    <w:name w:val="List Paragraph"/>
    <w:basedOn w:val="a"/>
    <w:uiPriority w:val="34"/>
    <w:qFormat/>
    <w:pPr>
      <w:ind w:firstLineChars="200" w:firstLine="420"/>
    </w:pPr>
  </w:style>
  <w:style w:type="character" w:styleId="af9">
    <w:name w:val="Placeholder Text"/>
    <w:uiPriority w:val="99"/>
    <w:semiHidden/>
    <w:rPr>
      <w:color w:val="808080"/>
    </w:rPr>
  </w:style>
  <w:style w:type="table" w:customStyle="1" w:styleId="61">
    <w:name w:val="清单表 6 彩色1"/>
    <w:basedOn w:val="a1"/>
    <w:uiPriority w:val="51"/>
    <w:rPr>
      <w:rFonts w:ascii="Calibri" w:hAnsi="Calibri"/>
      <w:color w:val="000000"/>
      <w:kern w:val="2"/>
      <w:sz w:val="21"/>
      <w:szCs w:val="22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4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611">
    <w:name w:val="清单表 6 彩色11"/>
    <w:basedOn w:val="a1"/>
    <w:uiPriority w:val="51"/>
    <w:rPr>
      <w:rFonts w:ascii="Calibri" w:hAnsi="Calibri"/>
      <w:color w:val="000000"/>
      <w:kern w:val="2"/>
      <w:sz w:val="21"/>
      <w:szCs w:val="22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4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customStyle="1" w:styleId="10">
    <w:name w:val="1"/>
    <w:basedOn w:val="a"/>
    <w:next w:val="af8"/>
    <w:uiPriority w:val="34"/>
    <w:qFormat/>
    <w:pPr>
      <w:ind w:firstLineChars="200" w:firstLine="420"/>
    </w:pPr>
  </w:style>
  <w:style w:type="character" w:customStyle="1" w:styleId="Char">
    <w:name w:val="论文正文 Char"/>
    <w:link w:val="afa"/>
    <w:qFormat/>
    <w:rPr>
      <w:rFonts w:ascii="宋体" w:hAnsi="宋体"/>
      <w:sz w:val="24"/>
    </w:rPr>
  </w:style>
  <w:style w:type="paragraph" w:customStyle="1" w:styleId="afa">
    <w:name w:val="论文正文"/>
    <w:basedOn w:val="a"/>
    <w:link w:val="Char"/>
    <w:qFormat/>
    <w:pPr>
      <w:spacing w:line="400" w:lineRule="exact"/>
      <w:ind w:firstLineChars="225" w:firstLine="540"/>
    </w:pPr>
    <w:rPr>
      <w:rFonts w:ascii="宋体" w:hAnsi="宋体"/>
      <w:kern w:val="0"/>
      <w:sz w:val="24"/>
      <w:szCs w:val="20"/>
    </w:rPr>
  </w:style>
  <w:style w:type="paragraph" w:customStyle="1" w:styleId="MTDisplayEquation">
    <w:name w:val="MTDisplayEquation"/>
    <w:basedOn w:val="a"/>
    <w:next w:val="a"/>
    <w:link w:val="MTDisplayEquation0"/>
    <w:pPr>
      <w:tabs>
        <w:tab w:val="center" w:pos="2400"/>
        <w:tab w:val="right" w:pos="4780"/>
      </w:tabs>
      <w:ind w:firstLineChars="200" w:firstLine="420"/>
      <w:jc w:val="right"/>
    </w:pPr>
    <w:rPr>
      <w:color w:val="000000"/>
    </w:rPr>
  </w:style>
  <w:style w:type="character" w:customStyle="1" w:styleId="MTDisplayEquation0">
    <w:name w:val="MTDisplayEquation 字符"/>
    <w:link w:val="MTDisplayEquation"/>
    <w:rPr>
      <w:color w:val="000000"/>
      <w:kern w:val="2"/>
      <w:sz w:val="21"/>
      <w:szCs w:val="24"/>
    </w:rPr>
  </w:style>
  <w:style w:type="character" w:customStyle="1" w:styleId="MTEquationSection">
    <w:name w:val="MTEquationSection"/>
    <w:rPr>
      <w:b/>
      <w:bCs/>
      <w:vanish/>
      <w:color w:val="FF0000"/>
      <w:sz w:val="32"/>
    </w:rPr>
  </w:style>
  <w:style w:type="character" w:styleId="afb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c">
    <w:basedOn w:val="a"/>
    <w:next w:val="af8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6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5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805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207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36" Type="http://schemas.openxmlformats.org/officeDocument/2006/relationships/fontTable" Target="fontTable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35" Type="http://schemas.openxmlformats.org/officeDocument/2006/relationships/hyperlink" Target="https://ieeexplore.ieee.org/abstract/document/9681973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38" Type="http://schemas.openxmlformats.org/officeDocument/2006/relationships/header" Target="header1.xml"/><Relationship Id="rId39" Type="http://schemas.openxmlformats.org/officeDocument/2006/relationships/footer" Target="footer2.xml"/><Relationship Id="rId40" Type="http://schemas.openxmlformats.org/officeDocument/2006/relationships/image" Target="media/image15.png"/><Relationship Id="rId41" Type="http://schemas.openxmlformats.org/officeDocument/2006/relationships/image" Target="media/image16.png"/><Relationship Id="rId4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5F585-27C4-46BD-88C8-DD7003734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791</Words>
  <Characters>4515</Characters>
  <Application>Microsoft Office Word</Application>
  <DocSecurity>0</DocSecurity>
  <Lines>37</Lines>
  <Paragraphs>10</Paragraphs>
  <ScaleCrop>false</ScaleCrop>
  <Company>app</Company>
  <LinksUpToDate>false</LinksUpToDate>
  <CharactersWithSpaces>5296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基于OpenMP的Sobel图像边缘检测并行程序设计与性能分析</dc:title>
  <dc:subject>并行程序设计课程作业</dc:subject>
  <dc:creator>待填写</dc:creator>
  <cp:keywords/>
  <cp:lastModifiedBy>Pingpeng Yuan</cp:lastModifiedBy>
  <cp:revision>6</cp:revision>
  <cp:lastPrinted>2024-01-02T07:23:00Z</cp:lastPrinted>
  <dcterms:created xsi:type="dcterms:W3CDTF">2025-11-26T07:42:00Z</dcterms:created>
  <dcterms:modified xsi:type="dcterms:W3CDTF">2026-10-17T08:36:00Z</dcterms:modified>
  <dc:description>基于上传模板替换内容，实测数据来自随附CSV。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  <property fmtid="{D5CDD505-2E9C-101B-9397-08002B2CF9AE}" pid="5" name="KSOProductBuildVer">
    <vt:lpwstr>2052-11.8.2.12011</vt:lpwstr>
  </property>
  <property fmtid="{D5CDD505-2E9C-101B-9397-08002B2CF9AE}" pid="6" name="ICV">
    <vt:lpwstr>3E8E2F6E0A8D4F7D85D07FE5E96FE9CB_12</vt:lpwstr>
  </property>
  <property fmtid="{D5CDD505-2E9C-101B-9397-08002B2CF9AE}" pid="7" name="GrammarlyDocumentId">
    <vt:lpwstr>f58683e2a13106d22c8afd4e4420e9b0ea327ea5c77fac0f0b0d2627cb097512</vt:lpwstr>
  </property>
</Properties>
</file>