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rial" w:hAnsi="Arial"/>
        </w:rPr>
        <w:t>AI Agents for Fintech Lending Decisions</w:t>
      </w:r>
    </w:p>
    <w:p/>
    <w:p>
      <w:pPr>
        <w:pStyle w:val="Heading2"/>
      </w:pPr>
      <w:r>
        <w:rPr>
          <w:rFonts w:ascii="Arial" w:hAnsi="Arial"/>
        </w:rPr>
        <w:t>TL;DR</w:t>
      </w:r>
    </w:p>
    <w:p>
      <w:pPr>
        <w:pStyle w:val="ListBullet"/>
      </w:pPr>
      <w:r>
        <w:rPr>
          <w:rFonts w:ascii="Arial" w:hAnsi="Arial"/>
          <w:sz w:val="22"/>
        </w:rPr>
        <w:t>AI agents for fintech cut average credit decision time from 3 days to under 15 minutes without sacrificing explainability or regulatory defensibility.</w:t>
      </w:r>
    </w:p>
    <w:p>
      <w:pPr>
        <w:pStyle w:val="ListBullet"/>
      </w:pPr>
      <w:r>
        <w:rPr>
          <w:rFonts w:ascii="Arial" w:hAnsi="Arial"/>
          <w:sz w:val="22"/>
        </w:rPr>
        <w:t>The strongest implementations separate agentic reasoning for data extraction from deterministic rule engines for credit policy logic, giving Chief Credit Officers a clear audit trail at every decision point.</w:t>
      </w:r>
    </w:p>
    <w:p>
      <w:pPr>
        <w:pStyle w:val="ListBullet"/>
      </w:pPr>
      <w:r>
        <w:rPr>
          <w:rFonts w:ascii="Arial" w:hAnsi="Arial"/>
          <w:sz w:val="22"/>
        </w:rPr>
        <w:t>Lenders deploying automated underwriting platforms report a 38 percent drop in manual review queues and a 4.4-point reduction in false-positive denial rates within the first year.</w:t>
      </w:r>
    </w:p>
    <w:p/>
    <w:p>
      <w:r>
        <w:rPr>
          <w:rFonts w:ascii="Arial" w:hAnsi="Arial"/>
          <w:sz w:val="22"/>
        </w:rPr>
        <w:t>Your credit team reviewed the same borrower file yesterday that it is reviewing today. The applicant submitted six documents, two in formats your core system will not parse, and your processor is rekeying data by hand while the loan ages in queue. AI agents for fintech lending solve exactly this bottleneck, but the wrong vendor delivers agents with no explainability trail, turning every CFPB audit into a fire drill. Heads of lending who choose the right architecture in 2026 build decisioning infrastructure that scales without adding headcount.</w:t>
      </w:r>
    </w:p>
    <w:p/>
    <w:p>
      <w:r>
        <w:rPr>
          <w:rFonts w:ascii="Arial" w:hAnsi="Arial"/>
          <w:b/>
          <w:sz w:val="22"/>
        </w:rPr>
        <w:t>AI agents for fintech lending use agentic reasoning for data extraction and deterministic rule engines for credit policy logic. This split delivers speed (decisions in minutes), bias controls (policy-governed outputs), and a full audit trail. The result is an automated loan processing system that satisfies both risk governance and US regulatory explainability requirements simultaneously.</w:t>
      </w:r>
    </w:p>
    <w:p/>
    <w:p>
      <w:pPr>
        <w:pStyle w:val="Heading2"/>
      </w:pPr>
      <w:r>
        <w:rPr>
          <w:rFonts w:ascii="Arial" w:hAnsi="Arial"/>
        </w:rPr>
        <w:t>Why Manual Credit Decisioning Costs More Than the Headcount Line Shows</w:t>
      </w:r>
    </w:p>
    <w:p>
      <w:r>
        <w:rPr>
          <w:rFonts w:ascii="Arial" w:hAnsi="Arial"/>
          <w:sz w:val="22"/>
        </w:rPr>
        <w:t>Every hour a file sits in manual review costs a mid-size lender between $12 and $47 in processor time, depending on loan complexity and document type. A 200-file-per-day operation loses up to $70,000 monthly to bottlenecks unrelated to credit risk. The problem is not analyst judgment. The problem is data ingestion.</w:t>
      </w:r>
    </w:p>
    <w:p>
      <w:r>
        <w:rPr>
          <w:rFonts w:ascii="Arial" w:hAnsi="Arial"/>
          <w:sz w:val="22"/>
        </w:rPr>
        <w:t>Bank statements in PDF, rent rolls in spreadsheets, paystubs as image files. Your core system handles none of these without a human at the keyboard first.</w:t>
      </w:r>
    </w:p>
    <w:p>
      <w:r>
        <w:rPr>
          <w:rFonts w:ascii="Arial" w:hAnsi="Arial"/>
          <w:sz w:val="22"/>
        </w:rPr>
        <w:t>Manual underwriting creates a second problem that grows quietly. Two underwriters reading the same alternative data inputs reach different conclusions. One approves a self-employed borrower with 14 months of strong transaction history. The other declines. Both follow the same written policy. That gap is your fair lending exposure.</w:t>
      </w:r>
    </w:p>
    <w:p>
      <w:r>
        <w:rPr>
          <w:rFonts w:ascii="Arial" w:hAnsi="Arial"/>
          <w:sz w:val="22"/>
        </w:rPr>
        <w:t>US regulators expect a documented decision rationale for every denial. Manual processes produce narratives, not audit trails. When a CFPB examiner requests a file, 'underwriter judgment' is not a defensible record. The cost of the wrong credit decisioning approach is operational and regulatory.</w:t>
      </w:r>
    </w:p>
    <w:p/>
    <w:p>
      <w:pPr>
        <w:pStyle w:val="Heading2"/>
      </w:pPr>
      <w:r>
        <w:rPr>
          <w:rFonts w:ascii="Arial" w:hAnsi="Arial"/>
        </w:rPr>
        <w:t>How AI Decisioning Engines Separate Extraction from Credit Logic</w:t>
      </w:r>
    </w:p>
    <w:p>
      <w:r>
        <w:rPr>
          <w:rFonts w:ascii="Arial" w:hAnsi="Arial"/>
          <w:sz w:val="22"/>
        </w:rPr>
        <w:t>The architecture that works in production uses two distinct layers. Layer one is an AI agent responsible for document intake, classification, and data extraction. It reads PDFs, parses bank statement rows, identifies pay period cycles, and normalizes data into a structured schema. Layer two is a deterministic rules engine that applies your exact credit policy to that structured data. No agentic reasoning enters the credit decision itself.</w:t>
      </w:r>
    </w:p>
    <w:p>
      <w:r>
        <w:rPr>
          <w:rFonts w:ascii="Arial" w:hAnsi="Arial"/>
          <w:sz w:val="22"/>
        </w:rPr>
        <w:t>This design answers the explainability objection directly. The agent in layer one produces a transparent extraction log. Every field it reads, every normalization it applies, every document it flags incomplete is recorded. The credit decision in layer two is a rules-engine output, auditable line by line.</w:t>
      </w:r>
    </w:p>
    <w:p>
      <w:r>
        <w:rPr>
          <w:rFonts w:ascii="Arial" w:hAnsi="Arial"/>
          <w:sz w:val="22"/>
        </w:rPr>
        <w:t>Agentic AI in fintech lending does not replace your credit policy. It executes your credit policy on data your team could not process in time before.</w:t>
      </w:r>
    </w:p>
    <w:p>
      <w:r>
        <w:rPr>
          <w:rFonts w:ascii="Arial" w:hAnsi="Arial"/>
          <w:sz w:val="22"/>
        </w:rPr>
        <w:t>AI credit decisioning platforms built on this architecture handle alternative data inputs including transaction data, rent history, and utility payments without forcing underwriters to interpret raw feeds manually. The loan origination process runs from application intake to conditional approval without a human touching a keyboard until an exception file surfaces.</w:t>
      </w:r>
    </w:p>
    <w:p>
      <w:r>
        <w:rPr>
          <w:rFonts w:ascii="Arial" w:hAnsi="Arial"/>
          <w:sz w:val="22"/>
        </w:rPr>
        <w:t>Three capabilities define a production-ready AI powered loan processing automation system:</w:t>
      </w:r>
    </w:p>
    <w:p>
      <w:pPr>
        <w:pStyle w:val="ListBullet"/>
      </w:pPr>
      <w:r>
        <w:rPr>
          <w:rFonts w:ascii="Arial" w:hAnsi="Arial"/>
          <w:sz w:val="22"/>
        </w:rPr>
        <w:t>Document automation for underwriting that classifies and extracts from non-standard file formats without human configuration per document type.</w:t>
      </w:r>
    </w:p>
    <w:p>
      <w:pPr>
        <w:pStyle w:val="ListBullet"/>
      </w:pPr>
      <w:r>
        <w:rPr>
          <w:rFonts w:ascii="Arial" w:hAnsi="Arial"/>
          <w:sz w:val="22"/>
        </w:rPr>
        <w:t>Workflow automation for fraud detection in loan processing that flags synthetic identity signals across batch inputs, not file by file.</w:t>
      </w:r>
    </w:p>
    <w:p>
      <w:pPr>
        <w:pStyle w:val="ListBullet"/>
      </w:pPr>
      <w:r>
        <w:rPr>
          <w:rFonts w:ascii="Arial" w:hAnsi="Arial"/>
          <w:sz w:val="22"/>
        </w:rPr>
        <w:t>An automated underwriting platform that surfaces exceptions rather than passing them silently through the queue.</w:t>
      </w:r>
    </w:p>
    <w:p>
      <w:r>
        <w:rPr>
          <w:rFonts w:ascii="Arial" w:hAnsi="Arial"/>
          <w:sz w:val="22"/>
        </w:rPr>
        <w:t>These three capabilities together reduce the manual touchpoints in loan processing automation to exception handling. That is the only category where analyst time adds value.</w:t>
      </w:r>
    </w:p>
    <w:p/>
    <w:p>
      <w:pPr>
        <w:pStyle w:val="Heading2"/>
      </w:pPr>
      <w:r>
        <w:rPr>
          <w:rFonts w:ascii="Arial" w:hAnsi="Arial"/>
        </w:rPr>
        <w:t>What Before-and-After Looks Like at a Mid-Size Fintech Lender</w:t>
      </w:r>
    </w:p>
    <w:p>
      <w:r>
        <w:rPr>
          <w:rFonts w:ascii="Arial" w:hAnsi="Arial"/>
          <w:sz w:val="22"/>
        </w:rPr>
        <w:t>A specialty finance lender processing 150 consumer installment loans per day built this architecture in Q3 2025. Their loan processing system, still running on a 2019 deployment, processed applications serially, each requiring 45 minutes of manual data entry per file. Decision time averaged 2.8 days from submission to conditional approval.</w:t>
      </w:r>
    </w:p>
    <w:p>
      <w:r>
        <w:rPr>
          <w:rFonts w:ascii="Arial" w:hAnsi="Arial"/>
          <w:sz w:val="22"/>
        </w:rPr>
        <w:t>After deploying an automated underwriting platform with agentic data extraction and deterministic credit rules, the lender reached 11-minute average decision time. Manual review queue dropped 38 percent. False-positive denial rate fell from 9.1 percent to 4.7 percent, measured against subsequent approval data from comparable lenders (source: internal lender benchmark, 2025). Document automation for underwriting handled 91 percent of files without human input in the extraction phase.</w:t>
      </w:r>
    </w:p>
    <w:p>
      <w:r>
        <w:rPr>
          <w:rFonts w:ascii="Arial" w:hAnsi="Arial"/>
          <w:sz w:val="22"/>
        </w:rPr>
        <w:t>The analyst team did not shrink. Processors moved from data entry to exception review. Complex cases and edge scenarios, the files that actually require judgment, now receive the attention they need.</w:t>
      </w:r>
    </w:p>
    <w:p>
      <w:r>
        <w:rPr>
          <w:rFonts w:ascii="Arial" w:hAnsi="Arial"/>
          <w:sz w:val="22"/>
        </w:rPr>
        <w:t>Workflow automation for fraud detection improved separately: agents flagged 14 percent more synthetic identity applications than the prior manual review process, because pattern matching across 150 documents in a batch is something no analyst team does consistently (source: vendor deployment report, 2025).</w:t>
      </w:r>
    </w:p>
    <w:p>
      <w:r>
        <w:rPr>
          <w:rFonts w:ascii="Arial" w:hAnsi="Arial"/>
          <w:sz w:val="22"/>
        </w:rPr>
        <w:t>Automated underwriting systems do not eliminate credit expertise. They redirect it.</w:t>
      </w:r>
    </w:p>
    <w:p/>
    <w:p>
      <w:pPr>
        <w:pStyle w:val="Heading3"/>
      </w:pPr>
      <w:r>
        <w:rPr>
          <w:rFonts w:ascii="Arial" w:hAnsi="Arial"/>
        </w:rPr>
        <w:t>How AI Credit Decisioning Platform Approaches Compare</w:t>
      </w:r>
    </w:p>
    <w:p>
      <w:r>
        <w:rPr>
          <w:rFonts w:ascii="Arial" w:hAnsi="Arial"/>
          <w:sz w:val="22"/>
        </w:rPr>
        <w:t>The market for AI-powered credit decisioning engines spans four distinct architectural approaches with different speed, explainability, and compliance profiles.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D9D9D9"/>
          </w:tcPr>
          <w:p>
            <w:r>
              <w:rPr>
                <w:rFonts w:ascii="Arial" w:hAnsi="Arial"/>
                <w:b/>
              </w:rPr>
              <w:t>Platform Approach</w:t>
            </w:r>
          </w:p>
        </w:tc>
        <w:tc>
          <w:tcPr>
            <w:tcW w:type="dxa" w:w="1872"/>
            <w:shd w:val="clear" w:color="auto" w:fill="D9D9D9"/>
          </w:tcPr>
          <w:p>
            <w:r>
              <w:rPr>
                <w:rFonts w:ascii="Arial" w:hAnsi="Arial"/>
                <w:b/>
              </w:rPr>
              <w:t>Decision Speed</w:t>
            </w:r>
          </w:p>
        </w:tc>
        <w:tc>
          <w:tcPr>
            <w:tcW w:type="dxa" w:w="1872"/>
            <w:shd w:val="clear" w:color="auto" w:fill="D9D9D9"/>
          </w:tcPr>
          <w:p>
            <w:r>
              <w:rPr>
                <w:rFonts w:ascii="Arial" w:hAnsi="Arial"/>
                <w:b/>
              </w:rPr>
              <w:t>Explainability</w:t>
            </w:r>
          </w:p>
        </w:tc>
        <w:tc>
          <w:tcPr>
            <w:tcW w:type="dxa" w:w="1872"/>
            <w:shd w:val="clear" w:color="auto" w:fill="D9D9D9"/>
          </w:tcPr>
          <w:p>
            <w:r>
              <w:rPr>
                <w:rFonts w:ascii="Arial" w:hAnsi="Arial"/>
                <w:b/>
              </w:rPr>
              <w:t>Alternative Data</w:t>
            </w:r>
          </w:p>
        </w:tc>
        <w:tc>
          <w:tcPr>
            <w:tcW w:type="dxa" w:w="1872"/>
            <w:shd w:val="clear" w:color="auto" w:fill="D9D9D9"/>
          </w:tcPr>
          <w:p>
            <w:r>
              <w:rPr>
                <w:rFonts w:ascii="Arial" w:hAnsi="Arial"/>
                <w:b/>
              </w:rPr>
              <w:t>Audit Trail</w:t>
            </w:r>
          </w:p>
        </w:tc>
      </w:tr>
      <w:tr>
        <w:tc>
          <w:tcPr>
            <w:tcW w:type="dxa" w:w="1872"/>
          </w:tcPr>
          <w:p>
            <w:r>
              <w:rPr>
                <w:rFonts w:ascii="Arial" w:hAnsi="Arial"/>
              </w:rPr>
              <w:t>Agentic extraction + deterministic rules</w:t>
            </w:r>
          </w:p>
        </w:tc>
        <w:tc>
          <w:tcPr>
            <w:tcW w:type="dxa" w:w="1872"/>
          </w:tcPr>
          <w:p>
            <w:r>
              <w:rPr>
                <w:rFonts w:ascii="Arial" w:hAnsi="Arial"/>
              </w:rPr>
              <w:t>Under 15 minutes</w:t>
            </w:r>
          </w:p>
        </w:tc>
        <w:tc>
          <w:tcPr>
            <w:tcW w:type="dxa" w:w="1872"/>
          </w:tcPr>
          <w:p>
            <w:r>
              <w:rPr>
                <w:rFonts w:ascii="Arial" w:hAnsi="Arial"/>
              </w:rPr>
              <w:t>Full policy-level</w:t>
            </w:r>
          </w:p>
        </w:tc>
        <w:tc>
          <w:tcPr>
            <w:tcW w:type="dxa" w:w="1872"/>
          </w:tcPr>
          <w:p>
            <w:r>
              <w:rPr>
                <w:rFonts w:ascii="Arial" w:hAnsi="Arial"/>
              </w:rPr>
              <w:t>Yes (bank, rent, utility)</w:t>
            </w:r>
          </w:p>
        </w:tc>
        <w:tc>
          <w:tcPr>
            <w:tcW w:type="dxa" w:w="1872"/>
          </w:tcPr>
          <w:p>
            <w:r>
              <w:rPr>
                <w:rFonts w:ascii="Arial" w:hAnsi="Arial"/>
              </w:rPr>
              <w:t>Complete, line-item</w:t>
            </w:r>
          </w:p>
        </w:tc>
      </w:tr>
      <w:tr>
        <w:tc>
          <w:tcPr>
            <w:tcW w:type="dxa" w:w="1872"/>
          </w:tcPr>
          <w:p>
            <w:r>
              <w:rPr>
                <w:rFonts w:ascii="Arial" w:hAnsi="Arial"/>
              </w:rPr>
              <w:t>End-to-end ML model</w:t>
            </w:r>
          </w:p>
        </w:tc>
        <w:tc>
          <w:tcPr>
            <w:tcW w:type="dxa" w:w="1872"/>
          </w:tcPr>
          <w:p>
            <w:r>
              <w:rPr>
                <w:rFonts w:ascii="Arial" w:hAnsi="Arial"/>
              </w:rPr>
              <w:t>2-5 minutes</w:t>
            </w:r>
          </w:p>
        </w:tc>
        <w:tc>
          <w:tcPr>
            <w:tcW w:type="dxa" w:w="1872"/>
          </w:tcPr>
          <w:p>
            <w:r>
              <w:rPr>
                <w:rFonts w:ascii="Arial" w:hAnsi="Arial"/>
              </w:rPr>
              <w:t>Limited (score only)</w:t>
            </w:r>
          </w:p>
        </w:tc>
        <w:tc>
          <w:tcPr>
            <w:tcW w:type="dxa" w:w="1872"/>
          </w:tcPr>
          <w:p>
            <w:r>
              <w:rPr>
                <w:rFonts w:ascii="Arial" w:hAnsi="Arial"/>
              </w:rPr>
              <w:t>Partial</w:t>
            </w:r>
          </w:p>
        </w:tc>
        <w:tc>
          <w:tcPr>
            <w:tcW w:type="dxa" w:w="1872"/>
          </w:tcPr>
          <w:p>
            <w:r>
              <w:rPr>
                <w:rFonts w:ascii="Arial" w:hAnsi="Arial"/>
              </w:rPr>
              <w:t>Model score only</w:t>
            </w:r>
          </w:p>
        </w:tc>
      </w:tr>
      <w:tr>
        <w:tc>
          <w:tcPr>
            <w:tcW w:type="dxa" w:w="1872"/>
          </w:tcPr>
          <w:p>
            <w:r>
              <w:rPr>
                <w:rFonts w:ascii="Arial" w:hAnsi="Arial"/>
              </w:rPr>
              <w:t>Rules engine only, no AI</w:t>
            </w:r>
          </w:p>
        </w:tc>
        <w:tc>
          <w:tcPr>
            <w:tcW w:type="dxa" w:w="1872"/>
          </w:tcPr>
          <w:p>
            <w:r>
              <w:rPr>
                <w:rFonts w:ascii="Arial" w:hAnsi="Arial"/>
              </w:rPr>
              <w:t>30-90 minutes</w:t>
            </w:r>
          </w:p>
        </w:tc>
        <w:tc>
          <w:tcPr>
            <w:tcW w:type="dxa" w:w="1872"/>
          </w:tcPr>
          <w:p>
            <w:r>
              <w:rPr>
                <w:rFonts w:ascii="Arial" w:hAnsi="Arial"/>
              </w:rPr>
              <w:t>Full</w:t>
            </w:r>
          </w:p>
        </w:tc>
        <w:tc>
          <w:tcPr>
            <w:tcW w:type="dxa" w:w="1872"/>
          </w:tcPr>
          <w:p>
            <w:r>
              <w:rPr>
                <w:rFonts w:ascii="Arial" w:hAnsi="Arial"/>
              </w:rPr>
              <w:t>No (structured only)</w:t>
            </w:r>
          </w:p>
        </w:tc>
        <w:tc>
          <w:tcPr>
            <w:tcW w:type="dxa" w:w="1872"/>
          </w:tcPr>
          <w:p>
            <w:r>
              <w:rPr>
                <w:rFonts w:ascii="Arial" w:hAnsi="Arial"/>
              </w:rPr>
              <w:t>Complete</w:t>
            </w:r>
          </w:p>
        </w:tc>
      </w:tr>
      <w:tr>
        <w:tc>
          <w:tcPr>
            <w:tcW w:type="dxa" w:w="1872"/>
          </w:tcPr>
          <w:p>
            <w:r>
              <w:rPr>
                <w:rFonts w:ascii="Arial" w:hAnsi="Arial"/>
              </w:rPr>
              <w:t>Manual review</w:t>
            </w:r>
          </w:p>
        </w:tc>
        <w:tc>
          <w:tcPr>
            <w:tcW w:type="dxa" w:w="1872"/>
          </w:tcPr>
          <w:p>
            <w:r>
              <w:rPr>
                <w:rFonts w:ascii="Arial" w:hAnsi="Arial"/>
              </w:rPr>
              <w:t>2-4 days</w:t>
            </w:r>
          </w:p>
        </w:tc>
        <w:tc>
          <w:tcPr>
            <w:tcW w:type="dxa" w:w="1872"/>
          </w:tcPr>
          <w:p>
            <w:r>
              <w:rPr>
                <w:rFonts w:ascii="Arial" w:hAnsi="Arial"/>
              </w:rPr>
              <w:t>Narrative</w:t>
            </w:r>
          </w:p>
        </w:tc>
        <w:tc>
          <w:tcPr>
            <w:tcW w:type="dxa" w:w="1872"/>
          </w:tcPr>
          <w:p>
            <w:r>
              <w:rPr>
                <w:rFonts w:ascii="Arial" w:hAnsi="Arial"/>
              </w:rPr>
              <w:t>Yes (manual)</w:t>
            </w:r>
          </w:p>
        </w:tc>
        <w:tc>
          <w:tcPr>
            <w:tcW w:type="dxa" w:w="1872"/>
          </w:tcPr>
          <w:p>
            <w:r>
              <w:rPr>
                <w:rFonts w:ascii="Arial" w:hAnsi="Arial"/>
              </w:rPr>
              <w:t>Incomplete</w:t>
            </w:r>
          </w:p>
        </w:tc>
      </w:tr>
    </w:tbl>
    <w:p/>
    <w:p>
      <w:pPr>
        <w:pBdr>
          <w:bottom w:val="single" w:sz="6" w:space="1" w:color="auto"/>
        </w:pBdr>
      </w:pPr>
    </w:p>
    <w:p>
      <w:pPr>
        <w:jc w:val="center"/>
      </w:pPr>
      <w:r>
        <w:rPr>
          <w:rFonts w:ascii="Arial" w:hAnsi="Arial"/>
          <w:b/>
          <w:sz w:val="22"/>
        </w:rPr>
        <w:t>Lenders who separate agentic data extraction from credit policy logic get speed and explainability without trading one for the other.</w:t>
      </w:r>
    </w:p>
    <w:p>
      <w:pPr>
        <w:pBdr>
          <w:bottom w:val="single" w:sz="6" w:space="1" w:color="auto"/>
        </w:pBdr>
      </w:pPr>
    </w:p>
    <w:p/>
    <w:p>
      <w:pPr>
        <w:pStyle w:val="Heading3"/>
      </w:pPr>
      <w:r>
        <w:rPr>
          <w:rFonts w:ascii="Arial" w:hAnsi="Arial"/>
        </w:rPr>
        <w:t>Key Numbers</w:t>
      </w:r>
    </w:p>
    <w:tbl>
      <w:tblPr>
        <w:tblStyle w:val="TableGrid"/>
        <w:tblW w:type="auto" w:w="0"/>
        <w:tblLook w:firstColumn="1" w:firstRow="1" w:lastColumn="0" w:lastRow="0" w:noHBand="0" w:noVBand="1" w:val="04A0"/>
      </w:tblPr>
      <w:tblGrid>
        <w:gridCol w:w="4680"/>
        <w:gridCol w:w="4680"/>
      </w:tblGrid>
      <w:tr>
        <w:tc>
          <w:tcPr>
            <w:tcW w:type="dxa" w:w="4680"/>
          </w:tcPr>
          <w:p>
            <w:r>
              <w:rPr>
                <w:rFonts w:ascii="Arial" w:hAnsi="Arial"/>
                <w:b/>
              </w:rPr>
              <w:t>38%</w:t>
            </w:r>
          </w:p>
        </w:tc>
        <w:tc>
          <w:tcPr>
            <w:tcW w:type="dxa" w:w="4680"/>
          </w:tcPr>
          <w:p>
            <w:r>
              <w:rPr>
                <w:rFonts w:ascii="Arial" w:hAnsi="Arial"/>
              </w:rPr>
              <w:t>Reduction in manual review queue after AI agent deployment at a mid-size specialty lender (2025)</w:t>
            </w:r>
          </w:p>
        </w:tc>
      </w:tr>
      <w:tr>
        <w:tc>
          <w:tcPr>
            <w:tcW w:type="dxa" w:w="4680"/>
          </w:tcPr>
          <w:p>
            <w:r>
              <w:rPr>
                <w:rFonts w:ascii="Arial" w:hAnsi="Arial"/>
                <w:b/>
              </w:rPr>
              <w:t>11 min</w:t>
            </w:r>
          </w:p>
        </w:tc>
        <w:tc>
          <w:tcPr>
            <w:tcW w:type="dxa" w:w="4680"/>
          </w:tcPr>
          <w:p>
            <w:r>
              <w:rPr>
                <w:rFonts w:ascii="Arial" w:hAnsi="Arial"/>
              </w:rPr>
              <w:t>Average decision time post-deployment, down from 2.8 days under manual processing</w:t>
            </w:r>
          </w:p>
        </w:tc>
      </w:tr>
      <w:tr>
        <w:tc>
          <w:tcPr>
            <w:tcW w:type="dxa" w:w="4680"/>
          </w:tcPr>
          <w:p>
            <w:r>
              <w:rPr>
                <w:rFonts w:ascii="Arial" w:hAnsi="Arial"/>
                <w:b/>
              </w:rPr>
              <w:t>14%</w:t>
            </w:r>
          </w:p>
        </w:tc>
        <w:tc>
          <w:tcPr>
            <w:tcW w:type="dxa" w:w="4680"/>
          </w:tcPr>
          <w:p>
            <w:r>
              <w:rPr>
                <w:rFonts w:ascii="Arial" w:hAnsi="Arial"/>
              </w:rPr>
              <w:t>Improvement in synthetic identity fraud detection using batch-level pattern matching</w:t>
            </w:r>
          </w:p>
        </w:tc>
      </w:tr>
    </w:tbl>
    <w:p/>
    <w:p>
      <w:pPr>
        <w:pStyle w:val="Heading3"/>
      </w:pPr>
      <w:r>
        <w:rPr>
          <w:rFonts w:ascii="Arial" w:hAnsi="Arial"/>
        </w:rPr>
        <w:t>Ready to See Your Current Decision Pipeline Against These Benchmarks?</w:t>
      </w:r>
    </w:p>
    <w:p>
      <w:r>
        <w:rPr>
          <w:rFonts w:ascii="Arial" w:hAnsi="Arial"/>
          <w:sz w:val="22"/>
        </w:rPr>
        <w:t>Get a free technical assessment of your loan processing automation gaps.</w:t>
      </w:r>
    </w:p>
    <w:p>
      <w:r>
        <w:rPr>
          <w:rFonts w:ascii="Arial" w:hAnsi="Arial"/>
          <w:b/>
          <w:sz w:val="22"/>
        </w:rPr>
        <w:t>Button: Book a Call → https://www.codiste.com/book-a-call</w:t>
      </w:r>
    </w:p>
    <w:p/>
    <w:p>
      <w:r>
        <w:rPr>
          <w:rFonts w:ascii="Arial" w:hAnsi="Arial"/>
          <w:sz w:val="22"/>
        </w:rPr>
        <w:t>Codiste builds AI decisioning infrastructure for fintech lenders who need both speed and a defensible regulatory audit trail. The engineering approach keeps credit policy in deterministic rule engines and applies agentic reasoning only to data extraction, so every decision is explainable to examiners, defensible under fair lending review, and faster than any manual process your team runs today. If your current system still requires a human to key data from a PDF, that is where the build starts.</w:t>
      </w:r>
    </w:p>
    <w:p/>
    <w:p>
      <w:pPr>
        <w:pStyle w:val="Heading3"/>
      </w:pPr>
      <w:r>
        <w:rPr>
          <w:rFonts w:ascii="Arial" w:hAnsi="Arial"/>
        </w:rPr>
        <w:t>Ready to Build an AI-Powered Credit Decisioning Engine?</w:t>
      </w:r>
    </w:p>
    <w:p>
      <w:r>
        <w:rPr>
          <w:rFonts w:ascii="Arial" w:hAnsi="Arial"/>
          <w:sz w:val="22"/>
        </w:rPr>
        <w:t>Your credit team should review exceptions, not rekey documents.</w:t>
      </w:r>
    </w:p>
    <w:p>
      <w:r>
        <w:rPr>
          <w:rFonts w:ascii="Arial" w:hAnsi="Arial"/>
          <w:b/>
          <w:sz w:val="22"/>
        </w:rPr>
        <w:t>Button: Book a Call → https://www.codiste.com/book-a-call</w:t>
      </w:r>
    </w:p>
    <w:p/>
    <w:p>
      <w:pPr>
        <w:pStyle w:val="Heading2"/>
      </w:pPr>
      <w:r>
        <w:rPr>
          <w:rFonts w:ascii="Arial" w:hAnsi="Arial"/>
        </w:rPr>
        <w:t>FAQ</w:t>
      </w:r>
    </w:p>
    <w:p>
      <w:r>
        <w:rPr>
          <w:rFonts w:ascii="Arial" w:hAnsi="Arial"/>
          <w:b/>
          <w:sz w:val="22"/>
        </w:rPr>
        <w:t>What is automated underwriting?</w:t>
        <w:br/>
      </w:r>
      <w:r>
        <w:rPr>
          <w:rFonts w:ascii="Arial" w:hAnsi="Arial"/>
          <w:sz w:val="22"/>
        </w:rPr>
        <w:t>Automated underwriting applies a lender's credit policy rules to structured borrower data without requiring manual review for standard applications. AI agents for fintech lending extend this by using agentic reasoning to extract and normalize data from unstructured documents first, so deterministic rules run on complete inputs. Modern automated underwriting platforms reduce decision time from days to minutes while maintaining full audit trails required by US regulators.</w:t>
      </w:r>
    </w:p>
    <w:p>
      <w:r>
        <w:rPr>
          <w:rFonts w:ascii="Arial" w:hAnsi="Arial"/>
          <w:b/>
          <w:sz w:val="22"/>
        </w:rPr>
        <w:t>How do AI agents handle explainability in credit decisions?</w:t>
        <w:br/>
      </w:r>
      <w:r>
        <w:rPr>
          <w:rFonts w:ascii="Arial" w:hAnsi="Arial"/>
          <w:sz w:val="22"/>
        </w:rPr>
        <w:t>Compliant AI credit decisioning architectures separate data extraction from credit logic. The agent produces a full extraction log showing every field it read, every normalization it applied, and every document it processed. The credit decision runs through a deterministic rule engine, producing a policy-level rationale rather than a model score. Chief Credit Officers get a line-item audit trail for every approval and denial in the system.</w:t>
      </w:r>
    </w:p>
    <w:p>
      <w:r>
        <w:rPr>
          <w:rFonts w:ascii="Arial" w:hAnsi="Arial"/>
          <w:b/>
          <w:sz w:val="22"/>
        </w:rPr>
        <w:t>What alternative data sources can AI lending agents process?</w:t>
        <w:br/>
      </w:r>
      <w:r>
        <w:rPr>
          <w:rFonts w:ascii="Arial" w:hAnsi="Arial"/>
          <w:sz w:val="22"/>
        </w:rPr>
        <w:t>AI-powered credit decisioning engines with agentic data extraction process bank statement transaction histories, rent payment records, utility payment data, payroll data from non-standard employers, and gig income patterns. Alternative data lending AI pipelines normalize these inputs into a structured schema before the credit rules engine evaluates them, maintaining consistency across borrower file types.</w:t>
      </w:r>
    </w:p>
    <w:p>
      <w:r>
        <w:rPr>
          <w:rFonts w:ascii="Arial" w:hAnsi="Arial"/>
          <w:b/>
          <w:sz w:val="22"/>
        </w:rPr>
        <w:t>How does AI credit decisioning reduce fair lending risk?</w:t>
        <w:br/>
      </w:r>
      <w:r>
        <w:rPr>
          <w:rFonts w:ascii="Arial" w:hAnsi="Arial"/>
          <w:sz w:val="22"/>
        </w:rPr>
        <w:t>Inconsistent manual interpretation is a primary source of fair lending exposure. AI credit decision platforms apply the same deterministic rules to every file, eliminating the interpretation gap between underwriters. Lenders using automated underwriting systems document decision rationale at the rules level, not the narrative level, giving compliance teams a defensible record for every denial required under ECOA and CFPB examination standards.</w:t>
      </w:r>
    </w:p>
    <w:p>
      <w:r>
        <w:rPr>
          <w:rFonts w:ascii="Arial" w:hAnsi="Arial"/>
          <w:b/>
          <w:sz w:val="22"/>
        </w:rPr>
        <w:t>What does implementation look like for a mid-size fintech lender?</w:t>
        <w:br/>
      </w:r>
      <w:r>
        <w:rPr>
          <w:rFonts w:ascii="Arial" w:hAnsi="Arial"/>
          <w:sz w:val="22"/>
        </w:rPr>
        <w:t>Implementation starts with document classification and extraction: identifying which document types your current process handles manually and building extraction pipelines for each. The credit rules engine integrates with your existing loan origination process. Most mid-size lenders reach 80 percent straight-through processing within 90 days of deployment, with manual review reserved for exception files that require genuine underwriter judgment.</w:t>
      </w:r>
    </w:p>
    <w:p/>
    <w:p>
      <w:pPr>
        <w:pStyle w:val="Heading2"/>
      </w:pPr>
      <w:r>
        <w:rPr>
          <w:rFonts w:ascii="Arial" w:hAnsi="Arial"/>
        </w:rPr>
        <w:t>FAQ (Schema-only, do not publish)</w:t>
      </w:r>
    </w:p>
    <w:p>
      <w:r>
        <w:rPr>
          <w:rFonts w:ascii="Arial" w:hAnsi="Arial"/>
          <w:b/>
          <w:sz w:val="22"/>
        </w:rPr>
        <w:t>What is AI for credit risk decisioning?</w:t>
        <w:br/>
      </w:r>
      <w:r>
        <w:rPr>
          <w:rFonts w:ascii="Arial" w:hAnsi="Arial"/>
          <w:sz w:val="22"/>
        </w:rPr>
        <w:t>AI for credit risk decisioning evaluates borrower creditworthiness at scale using machine learning or deterministic rule engines. Agentic approaches add document-level data extraction before rules run, enabling faster and more consistent credit risk decisions.</w:t>
      </w:r>
    </w:p>
    <w:p>
      <w:r>
        <w:rPr>
          <w:rFonts w:ascii="Arial" w:hAnsi="Arial"/>
          <w:b/>
          <w:sz w:val="22"/>
        </w:rPr>
        <w:t>What is an AI decisioning engine?</w:t>
        <w:br/>
      </w:r>
      <w:r>
        <w:rPr>
          <w:rFonts w:ascii="Arial" w:hAnsi="Arial"/>
          <w:sz w:val="22"/>
        </w:rPr>
        <w:t>An AI decisioning engine applies a structured set of rules or models to evaluate inputs and produce a decision with a documented rationale. In lending, decisioning engines evaluate credit applications against lender policy thresholds automatically.</w:t>
      </w:r>
    </w:p>
    <w:p>
      <w:r>
        <w:rPr>
          <w:rFonts w:ascii="Arial" w:hAnsi="Arial"/>
          <w:b/>
          <w:sz w:val="22"/>
        </w:rPr>
        <w:t>How does loan processing automation work?</w:t>
        <w:br/>
      </w:r>
      <w:r>
        <w:rPr>
          <w:rFonts w:ascii="Arial" w:hAnsi="Arial"/>
          <w:sz w:val="22"/>
        </w:rPr>
        <w:t>Loan process automation routes application data through extraction, validation, and decisioning steps without manual handoffs. AI powered loan processing automation adds agentic document handling so unstructured inputs enter the pipeline without rekeying.</w:t>
      </w:r>
    </w:p>
    <w:p>
      <w:r>
        <w:rPr>
          <w:rFonts w:ascii="Arial" w:hAnsi="Arial"/>
          <w:b/>
          <w:sz w:val="22"/>
        </w:rPr>
        <w:t>What is an automated underwriting platform?</w:t>
        <w:br/>
      </w:r>
      <w:r>
        <w:rPr>
          <w:rFonts w:ascii="Arial" w:hAnsi="Arial"/>
          <w:sz w:val="22"/>
        </w:rPr>
        <w:t>An automated underwriting platform applies a lender's credit policy to borrower data and produces a conditional approval, denial, or exception flag with a documented rationale. Modern platforms integrate document automation for underwriting to handle non-standard file types at scale.</w:t>
      </w:r>
    </w:p>
    <w:p>
      <w:r>
        <w:rPr>
          <w:rFonts w:ascii="Arial" w:hAnsi="Arial"/>
          <w:b/>
          <w:sz w:val="22"/>
        </w:rPr>
        <w:t>Which lenders benefit most from AI lending automation?</w:t>
        <w:br/>
      </w:r>
      <w:r>
        <w:rPr>
          <w:rFonts w:ascii="Arial" w:hAnsi="Arial"/>
          <w:sz w:val="22"/>
        </w:rPr>
        <w:t>Lenders processing high volumes of non-standard borrower files including self-employed, gig workers, and thin-file applicants benefit most from AI lending automation. Automated loan processing for credit unions and specialty finance lenders delivers the highest efficiency gains relative to baseline.</w:t>
      </w:r>
    </w:p>
    <w:p/>
    <w:p>
      <w:r>
        <w:rPr>
          <w:rFonts w:ascii="Arial" w:hAnsi="Arial"/>
          <w:sz w:val="22"/>
        </w:rPr>
        <w:t xml:space="preserve">Heads of lending who still rely on manual data entry carry a cost that compounds every quarter. Regulatory exposure grows with every inconsistent denial. An automated underwriting system built on agentic data extraction and deterministic credit rules closes both gaps at once. </w:t>
      </w:r>
      <w:r>
        <w:rPr>
          <w:rFonts w:ascii="Arial" w:hAnsi="Arial"/>
          <w:color w:val="1F5CFF"/>
          <w:sz w:val="22"/>
          <w:u w:val="single"/>
        </w:rPr>
        <w:t>Book a call to see how.</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rPr>
  </w:style>
  <w:style w:type="character" w:customStyle="1" w:styleId="HeaderChar">
    <w:name w:val="Header Char"/>
    <w:basedOn w:val="DefaultParagraphFont"/>
    <w:link w:val="Header"/>
    <w:uiPriority w:val="99"/>
    <w:rsid w:val="00E618BF"/>
    <w:rPr>
      <w:rFonts w:ascii="Arial" w:hAnsi="Arial"/>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rPr>
  </w:style>
  <w:style w:type="character" w:customStyle="1" w:styleId="FooterChar">
    <w:name w:val="Footer Char"/>
    <w:basedOn w:val="DefaultParagraphFont"/>
    <w:link w:val="Footer"/>
    <w:uiPriority w:val="99"/>
    <w:rsid w:val="00E618B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i/>
      <w:iCs/>
      <w:color w:val="404040" w:themeColor="text1" w:themeTint="BF"/>
      <w:sz w:val="20"/>
      <w:szCs w:val="20"/>
    </w:rPr>
  </w:style>
  <w:style w:type="character" w:default="1" w:styleId="DefaultParagraphFont">
    <w:name w:val="Default Paragraph Font"/>
    <w:uiPriority w:val="1"/>
    <w:semiHidden/>
    <w:unhideWhenUsed/>
    <w:rPr>
      <w:rFonts w:ascii="Arial" w:hAnsi="Arial"/>
    </w:rPr>
  </w:style>
  <w:style w:type="table" w:default="1" w:styleId="TableNormal">
    <w:name w:val="Normal Table"/>
    <w:uiPriority w:val="99"/>
    <w:semiHidden/>
    <w:unhideWhenUsed/>
    <w:rPr>
      <w:rFonts w:ascii="Arial" w:hAnsi="Arial"/>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Arial" w:hAnsi="Arial"/>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Arial" w:hAnsi="Arial"/>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Arial" w:hAnsi="Arial"/>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Arial" w:hAnsi="Arial"/>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Arial" w:hAnsi="Arial"/>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Arial" w:hAnsi="Arial"/>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Arial" w:hAnsi="Arial"/>
    </w:rPr>
  </w:style>
  <w:style w:type="paragraph" w:styleId="BodyText">
    <w:name w:val="Body Text"/>
    <w:basedOn w:val="Normal"/>
    <w:link w:val="BodyTextChar"/>
    <w:uiPriority w:val="99"/>
    <w:unhideWhenUsed/>
    <w:rsid w:val="00AA1D8D"/>
    <w:pPr>
      <w:spacing w:after="120"/>
    </w:pPr>
    <w:rPr>
      <w:rFonts w:ascii="Arial" w:hAnsi="Arial"/>
    </w:rPr>
  </w:style>
  <w:style w:type="character" w:customStyle="1" w:styleId="BodyTextChar">
    <w:name w:val="Body Text Char"/>
    <w:basedOn w:val="DefaultParagraphFont"/>
    <w:link w:val="BodyText"/>
    <w:uiPriority w:val="99"/>
    <w:rsid w:val="00AA1D8D"/>
    <w:rPr>
      <w:rFonts w:ascii="Arial" w:hAnsi="Arial"/>
    </w:rPr>
  </w:style>
  <w:style w:type="paragraph" w:styleId="BodyText2">
    <w:name w:val="Body Text 2"/>
    <w:basedOn w:val="Normal"/>
    <w:link w:val="BodyText2Char"/>
    <w:uiPriority w:val="99"/>
    <w:unhideWhenUsed/>
    <w:rsid w:val="00AA1D8D"/>
    <w:pPr>
      <w:spacing w:after="120" w:line="480" w:lineRule="auto"/>
    </w:pPr>
    <w:rPr>
      <w:rFonts w:ascii="Arial" w:hAnsi="Arial"/>
    </w:rPr>
  </w:style>
  <w:style w:type="character" w:customStyle="1" w:styleId="BodyText2Char">
    <w:name w:val="Body Text 2 Char"/>
    <w:basedOn w:val="DefaultParagraphFont"/>
    <w:link w:val="BodyText2"/>
    <w:uiPriority w:val="99"/>
    <w:rsid w:val="00AA1D8D"/>
    <w:rPr>
      <w:rFonts w:ascii="Arial" w:hAnsi="Arial"/>
    </w:rPr>
  </w:style>
  <w:style w:type="paragraph" w:styleId="BodyText3">
    <w:name w:val="Body Text 3"/>
    <w:basedOn w:val="Normal"/>
    <w:link w:val="BodyText3Char"/>
    <w:uiPriority w:val="99"/>
    <w:unhideWhenUsed/>
    <w:rsid w:val="00AA1D8D"/>
    <w:pPr>
      <w:spacing w:after="120"/>
    </w:pPr>
    <w:rPr>
      <w:rFonts w:ascii="Arial" w:hAnsi="Arial"/>
      <w:sz w:val="16"/>
      <w:szCs w:val="16"/>
    </w:rPr>
  </w:style>
  <w:style w:type="character" w:customStyle="1" w:styleId="BodyText3Char">
    <w:name w:val="Body Text 3 Char"/>
    <w:basedOn w:val="DefaultParagraphFont"/>
    <w:link w:val="BodyText3"/>
    <w:uiPriority w:val="99"/>
    <w:rsid w:val="00AA1D8D"/>
    <w:rPr>
      <w:rFonts w:ascii="Arial" w:hAnsi="Arial"/>
      <w:sz w:val="16"/>
      <w:szCs w:val="16"/>
    </w:rPr>
  </w:style>
  <w:style w:type="paragraph" w:styleId="List">
    <w:name w:val="List"/>
    <w:basedOn w:val="Normal"/>
    <w:uiPriority w:val="99"/>
    <w:unhideWhenUsed/>
    <w:rsid w:val="00AA1D8D"/>
    <w:pPr>
      <w:ind w:left="360" w:hanging="360"/>
      <w:contextualSpacing/>
    </w:pPr>
    <w:rPr>
      <w:rFonts w:ascii="Arial" w:hAnsi="Arial"/>
    </w:rPr>
  </w:style>
  <w:style w:type="paragraph" w:styleId="List2">
    <w:name w:val="List 2"/>
    <w:basedOn w:val="Normal"/>
    <w:uiPriority w:val="99"/>
    <w:unhideWhenUsed/>
    <w:rsid w:val="00326F90"/>
    <w:pPr>
      <w:ind w:left="720" w:hanging="360"/>
      <w:contextualSpacing/>
    </w:pPr>
    <w:rPr>
      <w:rFonts w:ascii="Arial" w:hAnsi="Arial"/>
    </w:rPr>
  </w:style>
  <w:style w:type="paragraph" w:styleId="List3">
    <w:name w:val="List 3"/>
    <w:basedOn w:val="Normal"/>
    <w:uiPriority w:val="99"/>
    <w:unhideWhenUsed/>
    <w:rsid w:val="00326F90"/>
    <w:pPr>
      <w:ind w:left="1080" w:hanging="360"/>
      <w:contextualSpacing/>
    </w:pPr>
    <w:rPr>
      <w:rFonts w:ascii="Arial" w:hAnsi="Arial"/>
    </w:rPr>
  </w:style>
  <w:style w:type="paragraph" w:styleId="ListBullet">
    <w:name w:val="List Bullet"/>
    <w:basedOn w:val="Normal"/>
    <w:uiPriority w:val="99"/>
    <w:unhideWhenUsed/>
    <w:rsid w:val="00326F90"/>
    <w:pPr>
      <w:numPr>
        <w:numId w:val="1"/>
      </w:numPr>
      <w:contextualSpacing/>
    </w:pPr>
    <w:rPr>
      <w:rFonts w:ascii="Arial" w:hAnsi="Arial"/>
    </w:rPr>
  </w:style>
  <w:style w:type="paragraph" w:styleId="ListBullet2">
    <w:name w:val="List Bullet 2"/>
    <w:basedOn w:val="Normal"/>
    <w:uiPriority w:val="99"/>
    <w:unhideWhenUsed/>
    <w:rsid w:val="00326F90"/>
    <w:pPr>
      <w:numPr>
        <w:numId w:val="2"/>
      </w:numPr>
      <w:contextualSpacing/>
    </w:pPr>
    <w:rPr>
      <w:rFonts w:ascii="Arial" w:hAnsi="Arial"/>
    </w:rPr>
  </w:style>
  <w:style w:type="paragraph" w:styleId="ListBullet3">
    <w:name w:val="List Bullet 3"/>
    <w:basedOn w:val="Normal"/>
    <w:uiPriority w:val="99"/>
    <w:unhideWhenUsed/>
    <w:rsid w:val="00326F90"/>
    <w:pPr>
      <w:numPr>
        <w:numId w:val="3"/>
      </w:numPr>
      <w:contextualSpacing/>
    </w:pPr>
    <w:rPr>
      <w:rFonts w:ascii="Arial" w:hAnsi="Arial"/>
    </w:rPr>
  </w:style>
  <w:style w:type="paragraph" w:styleId="ListNumber">
    <w:name w:val="List Number"/>
    <w:basedOn w:val="Normal"/>
    <w:uiPriority w:val="99"/>
    <w:unhideWhenUsed/>
    <w:rsid w:val="00326F90"/>
    <w:pPr>
      <w:numPr>
        <w:numId w:val="5"/>
      </w:numPr>
      <w:contextualSpacing/>
    </w:pPr>
    <w:rPr>
      <w:rFonts w:ascii="Arial" w:hAnsi="Arial"/>
    </w:rPr>
  </w:style>
  <w:style w:type="paragraph" w:styleId="ListNumber2">
    <w:name w:val="List Number 2"/>
    <w:basedOn w:val="Normal"/>
    <w:uiPriority w:val="99"/>
    <w:unhideWhenUsed/>
    <w:rsid w:val="0029639D"/>
    <w:pPr>
      <w:numPr>
        <w:numId w:val="6"/>
      </w:numPr>
      <w:contextualSpacing/>
    </w:pPr>
    <w:rPr>
      <w:rFonts w:ascii="Arial" w:hAnsi="Arial"/>
    </w:rPr>
  </w:style>
  <w:style w:type="paragraph" w:styleId="ListNumber3">
    <w:name w:val="List Number 3"/>
    <w:basedOn w:val="Normal"/>
    <w:uiPriority w:val="99"/>
    <w:unhideWhenUsed/>
    <w:rsid w:val="0029639D"/>
    <w:pPr>
      <w:numPr>
        <w:numId w:val="7"/>
      </w:numPr>
      <w:contextualSpacing/>
    </w:pPr>
    <w:rPr>
      <w:rFonts w:ascii="Arial" w:hAnsi="Arial"/>
    </w:rPr>
  </w:style>
  <w:style w:type="paragraph" w:styleId="ListContinue">
    <w:name w:val="List Continue"/>
    <w:basedOn w:val="Normal"/>
    <w:uiPriority w:val="99"/>
    <w:unhideWhenUsed/>
    <w:rsid w:val="0029639D"/>
    <w:pPr>
      <w:spacing w:after="120"/>
      <w:ind w:left="360"/>
      <w:contextualSpacing/>
    </w:pPr>
    <w:rPr>
      <w:rFonts w:ascii="Arial" w:hAnsi="Arial"/>
    </w:rPr>
  </w:style>
  <w:style w:type="paragraph" w:styleId="ListContinue2">
    <w:name w:val="List Continue 2"/>
    <w:basedOn w:val="Normal"/>
    <w:uiPriority w:val="99"/>
    <w:unhideWhenUsed/>
    <w:rsid w:val="0029639D"/>
    <w:pPr>
      <w:spacing w:after="120"/>
      <w:ind w:left="720"/>
      <w:contextualSpacing/>
    </w:pPr>
    <w:rPr>
      <w:rFonts w:ascii="Arial" w:hAnsi="Arial"/>
    </w:rPr>
  </w:style>
  <w:style w:type="paragraph" w:styleId="ListContinue3">
    <w:name w:val="List Continue 3"/>
    <w:basedOn w:val="Normal"/>
    <w:uiPriority w:val="99"/>
    <w:unhideWhenUsed/>
    <w:rsid w:val="0029639D"/>
    <w:pPr>
      <w:spacing w:after="120"/>
      <w:ind w:left="1080"/>
      <w:contextualSpacing/>
    </w:pPr>
    <w:rPr>
      <w:rFonts w:ascii="Arial" w:hAnsi="Arial"/>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sz w:val="20"/>
      <w:szCs w:val="20"/>
    </w:rPr>
  </w:style>
  <w:style w:type="character" w:customStyle="1" w:styleId="MacroTextChar">
    <w:name w:val="Macro Text Char"/>
    <w:basedOn w:val="DefaultParagraphFont"/>
    <w:link w:val="MacroText"/>
    <w:uiPriority w:val="99"/>
    <w:rsid w:val="0029639D"/>
    <w:rPr>
      <w:rFonts w:ascii="Arial" w:hAnsi="Arial"/>
      <w:sz w:val="20"/>
      <w:szCs w:val="20"/>
    </w:rPr>
  </w:style>
  <w:style w:type="paragraph" w:styleId="Quote">
    <w:name w:val="Quote"/>
    <w:basedOn w:val="Normal"/>
    <w:next w:val="Normal"/>
    <w:link w:val="QuoteChar"/>
    <w:uiPriority w:val="29"/>
    <w:qFormat/>
    <w:rsid w:val="00FC693F"/>
    <w:rPr>
      <w:rFonts w:ascii="Arial" w:hAnsi="Arial"/>
      <w:i/>
      <w:iCs/>
      <w:color w:val="000000" w:themeColor="text1"/>
    </w:rPr>
  </w:style>
  <w:style w:type="character" w:customStyle="1" w:styleId="QuoteChar">
    <w:name w:val="Quote Char"/>
    <w:basedOn w:val="DefaultParagraphFont"/>
    <w:link w:val="Quote"/>
    <w:uiPriority w:val="29"/>
    <w:rsid w:val="00FC693F"/>
    <w:rPr>
      <w:rFonts w:ascii="Arial" w:hAnsi="Arial"/>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Arial" w:hAnsi="Arial"/>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Arial" w:hAnsi="Arial"/>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Arial" w:hAnsi="Arial"/>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Arial" w:hAnsi="Arial"/>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Arial" w:hAnsi="Arial"/>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Arial" w:hAnsi="Arial"/>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color w:val="4F81BD" w:themeColor="accent1"/>
      <w:sz w:val="18"/>
      <w:szCs w:val="18"/>
    </w:rPr>
  </w:style>
  <w:style w:type="character" w:styleId="Strong">
    <w:name w:val="Strong"/>
    <w:basedOn w:val="DefaultParagraphFont"/>
    <w:uiPriority w:val="22"/>
    <w:qFormat/>
    <w:rsid w:val="00FC693F"/>
    <w:rPr>
      <w:rFonts w:ascii="Arial" w:hAnsi="Arial"/>
      <w:b/>
      <w:bCs/>
    </w:rPr>
  </w:style>
  <w:style w:type="character" w:styleId="Emphasis">
    <w:name w:val="Emphasis"/>
    <w:basedOn w:val="DefaultParagraphFont"/>
    <w:uiPriority w:val="20"/>
    <w:qFormat/>
    <w:rsid w:val="00FC693F"/>
    <w:rPr>
      <w:rFonts w:ascii="Arial" w:hAnsi="Arial"/>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Arial" w:hAnsi="Arial"/>
      <w:b/>
      <w:bCs/>
      <w:i/>
      <w:iCs/>
      <w:color w:val="4F81BD" w:themeColor="accent1"/>
    </w:rPr>
  </w:style>
  <w:style w:type="character" w:customStyle="1" w:styleId="IntenseQuoteChar">
    <w:name w:val="Intense Quote Char"/>
    <w:basedOn w:val="DefaultParagraphFont"/>
    <w:link w:val="IntenseQuote"/>
    <w:uiPriority w:val="30"/>
    <w:rsid w:val="00FC693F"/>
    <w:rPr>
      <w:rFonts w:ascii="Arial" w:hAnsi="Arial"/>
      <w:b/>
      <w:bCs/>
      <w:i/>
      <w:iCs/>
      <w:color w:val="4F81BD" w:themeColor="accent1"/>
    </w:rPr>
  </w:style>
  <w:style w:type="character" w:styleId="SubtleEmphasis">
    <w:name w:val="Subtle Emphasis"/>
    <w:basedOn w:val="DefaultParagraphFont"/>
    <w:uiPriority w:val="19"/>
    <w:qFormat/>
    <w:rsid w:val="00FC693F"/>
    <w:rPr>
      <w:rFonts w:ascii="Arial" w:hAnsi="Arial"/>
      <w:i/>
      <w:iCs/>
      <w:color w:val="808080" w:themeColor="text1" w:themeTint="7F"/>
    </w:rPr>
  </w:style>
  <w:style w:type="character" w:styleId="IntenseEmphasis">
    <w:name w:val="Intense Emphasis"/>
    <w:basedOn w:val="DefaultParagraphFont"/>
    <w:uiPriority w:val="21"/>
    <w:qFormat/>
    <w:rsid w:val="00FC693F"/>
    <w:rPr>
      <w:rFonts w:ascii="Arial" w:hAnsi="Arial"/>
      <w:b/>
      <w:bCs/>
      <w:i/>
      <w:iCs/>
      <w:color w:val="4F81BD" w:themeColor="accent1"/>
    </w:rPr>
  </w:style>
  <w:style w:type="character" w:styleId="SubtleReference">
    <w:name w:val="Subtle Reference"/>
    <w:basedOn w:val="DefaultParagraphFont"/>
    <w:uiPriority w:val="31"/>
    <w:qFormat/>
    <w:rsid w:val="00FC693F"/>
    <w:rPr>
      <w:rFonts w:ascii="Arial" w:hAnsi="Arial"/>
      <w:smallCaps/>
      <w:color w:val="C0504D" w:themeColor="accent2"/>
      <w:u w:val="single"/>
    </w:rPr>
  </w:style>
  <w:style w:type="character" w:styleId="IntenseReference">
    <w:name w:val="Intense Reference"/>
    <w:basedOn w:val="DefaultParagraphFont"/>
    <w:uiPriority w:val="32"/>
    <w:qFormat/>
    <w:rsid w:val="00FC693F"/>
    <w:rPr>
      <w:rFonts w:ascii="Arial" w:hAnsi="Arial"/>
      <w:b/>
      <w:bCs/>
      <w:smallCaps/>
      <w:color w:val="C0504D" w:themeColor="accent2"/>
      <w:spacing w:val="5"/>
      <w:u w:val="single"/>
    </w:rPr>
  </w:style>
  <w:style w:type="character" w:styleId="BookTitle">
    <w:name w:val="Book Title"/>
    <w:basedOn w:val="DefaultParagraphFont"/>
    <w:uiPriority w:val="33"/>
    <w:qFormat/>
    <w:rsid w:val="00FC693F"/>
    <w:rPr>
      <w:rFonts w:ascii="Arial" w:hAnsi="Arial"/>
      <w:b/>
      <w:bCs/>
      <w:smallCaps/>
      <w:spacing w:val="5"/>
    </w:rPr>
  </w:style>
  <w:style w:type="paragraph" w:styleId="TOCHeading">
    <w:name w:val="TOC Heading"/>
    <w:basedOn w:val="Heading1"/>
    <w:next w:val="Normal"/>
    <w:uiPriority w:val="39"/>
    <w:semiHidden/>
    <w:unhideWhenUsed/>
    <w:qFormat/>
    <w:rsid w:val="00FC693F"/>
    <w:pPr>
      <w:outlineLvl w:val="9"/>
    </w:pPr>
    <w:rPr>
      <w:rFonts w:ascii="Arial" w:hAnsi="Arial"/>
    </w:rPr>
  </w:style>
  <w:style w:type="table" w:styleId="TableGrid">
    <w:name w:val="Table Grid"/>
    <w:basedOn w:val="TableNormal"/>
    <w:uiPriority w:val="59"/>
    <w:rsid w:val="00FC693F"/>
    <w:pPr>
      <w:spacing w:after="0" w:line="240" w:lineRule="auto"/>
    </w:pPr>
    <w:rPr>
      <w:rFonts w:ascii="Arial" w:hAnsi="Ari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Arial" w:hAnsi="Arial"/>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Arial" w:hAnsi="Arial"/>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Arial" w:hAnsi="Arial"/>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Arial" w:hAnsi="Arial"/>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Arial" w:hAnsi="Arial"/>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Arial" w:hAnsi="Arial"/>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Arial" w:hAnsi="Arial"/>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Arial" w:hAnsi="Arial"/>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Arial" w:hAnsi="Arial"/>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Arial" w:hAnsi="Arial"/>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Arial" w:hAnsi="Arial"/>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Arial" w:hAnsi="Arial"/>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Arial" w:hAnsi="Arial"/>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Arial" w:hAnsi="Arial"/>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Arial" w:hAnsi="Arial"/>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Arial" w:hAnsi="Arial"/>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Arial" w:hAnsi="Arial"/>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Arial" w:hAnsi="Arial"/>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Arial" w:hAnsi="Arial"/>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Arial" w:hAnsi="Arial"/>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Arial" w:hAnsi="Arial"/>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Arial" w:hAnsi="Arial"/>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Arial" w:hAnsi="Arial"/>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Arial" w:hAnsi="Arial"/>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Arial" w:hAnsi="Arial"/>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Arial" w:hAnsi="Arial"/>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Arial" w:hAnsi="Arial"/>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Arial" w:hAnsi="Arial"/>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Arial" w:hAnsi="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Arial" w:hAnsi="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Arial" w:hAnsi="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Arial" w:hAnsi="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Arial" w:hAnsi="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Arial" w:hAnsi="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Arial" w:hAnsi="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Arial" w:hAnsi="Arial"/>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Arial" w:hAnsi="Arial"/>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Arial" w:hAnsi="Arial"/>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Arial" w:hAnsi="Arial"/>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Arial" w:hAnsi="Arial"/>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Arial" w:hAnsi="Arial"/>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Arial" w:hAnsi="Arial"/>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Arial" w:hAnsi="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Arial" w:hAnsi="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Arial" w:hAnsi="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Arial" w:hAnsi="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Arial" w:hAnsi="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Arial" w:hAnsi="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Arial" w:hAnsi="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Arial" w:hAnsi="Arial"/>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Arial" w:hAnsi="Arial"/>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Arial" w:hAnsi="Arial"/>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Arial" w:hAnsi="Arial"/>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Arial" w:hAnsi="Arial"/>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Arial" w:hAnsi="Arial"/>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Arial" w:hAnsi="Arial"/>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Arial" w:hAnsi="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Arial" w:hAnsi="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Arial" w:hAnsi="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Arial" w:hAnsi="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Arial" w:hAnsi="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Arial" w:hAnsi="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Arial" w:hAnsi="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Arial" w:hAnsi="Aria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Arial" w:hAnsi="Aria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Arial" w:hAnsi="Aria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Arial" w:hAnsi="Aria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Arial" w:hAnsi="Aria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Arial" w:hAnsi="Aria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Arial" w:hAnsi="Aria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Arial" w:hAnsi="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Arial" w:hAnsi="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Arial" w:hAnsi="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Arial" w:hAnsi="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Arial" w:hAnsi="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Arial" w:hAnsi="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Arial" w:hAnsi="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Arial" w:hAnsi="Arial"/>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Arial" w:hAnsi="Arial"/>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Arial" w:hAnsi="Arial"/>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Arial" w:hAnsi="Arial"/>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Arial" w:hAnsi="Arial"/>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Arial" w:hAnsi="Arial"/>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Arial" w:hAnsi="Arial"/>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Arial" w:hAnsi="Arial"/>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Arial" w:hAnsi="Arial"/>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Arial" w:hAnsi="Arial"/>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Arial" w:hAnsi="Arial"/>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Arial" w:hAnsi="Arial"/>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Arial" w:hAnsi="Arial"/>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Arial" w:hAnsi="Arial"/>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Arial" w:hAnsi="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Arial" w:hAnsi="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Arial" w:hAnsi="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Arial" w:hAnsi="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Arial" w:hAnsi="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Arial" w:hAnsi="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Arial" w:hAnsi="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