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val="0"/>
          <w:color w:val="646464"/>
          <w:sz w:val="20"/>
        </w:rPr>
        <w:t>==================================================</w:t>
      </w:r>
    </w:p>
    <w:p>
      <w:pPr>
        <w:jc w:val="center"/>
      </w:pPr>
      <w:r>
        <w:rPr>
          <w:rFonts w:ascii="Calibri" w:hAnsi="Calibri"/>
          <w:b/>
          <w:color w:val="3C3C3C"/>
          <w:sz w:val="22"/>
        </w:rPr>
        <w:t>LINKEDIN ARTICLE — CODISTE</w:t>
      </w:r>
    </w:p>
    <w:p>
      <w:pPr>
        <w:jc w:val="center"/>
      </w:pPr>
      <w:r>
        <w:rPr>
          <w:rFonts w:ascii="Calibri" w:hAnsi="Calibri"/>
          <w:b w:val="0"/>
          <w:color w:val="646464"/>
          <w:sz w:val="20"/>
        </w:rPr>
        <w:t>==================================================</w:t>
      </w:r>
    </w:p>
    <w:p/>
    <w:p>
      <w:r>
        <w:rPr>
          <w:rFonts w:ascii="Calibri" w:hAnsi="Calibri"/>
          <w:b/>
          <w:color w:val="787878"/>
          <w:sz w:val="20"/>
        </w:rPr>
        <w:t>TITLE:</w:t>
      </w:r>
    </w:p>
    <w:p>
      <w:r>
        <w:rPr>
          <w:rFonts w:ascii="Calibri" w:hAnsi="Calibri"/>
          <w:b/>
          <w:color w:val="010101"/>
          <w:sz w:val="40"/>
        </w:rPr>
        <w:t>Why Your AI Risk Model Isn't the Problem: What Banks Get Wrong</w:t>
      </w:r>
    </w:p>
    <w:p/>
    <w:p>
      <w:r>
        <w:rPr>
          <w:rFonts w:ascii="Calibri" w:hAnsi="Calibri"/>
          <w:b/>
          <w:color w:val="787878"/>
          <w:sz w:val="20"/>
        </w:rPr>
        <w:t>KEYWORDS TO USE AS HASHTAGS:</w:t>
      </w:r>
    </w:p>
    <w:p>
      <w:r>
        <w:rPr>
          <w:rFonts w:ascii="Calibri" w:hAnsi="Calibri"/>
          <w:b w:val="0"/>
          <w:color w:val="0064C8"/>
          <w:sz w:val="22"/>
        </w:rPr>
        <w:t>#AIInFinance #FinancialRisk #BankingAI #RegulatoryCompliance #AIGovernance</w:t>
      </w:r>
    </w:p>
    <w:p/>
    <w:p>
      <w:pPr>
        <w:jc w:val="center"/>
      </w:pPr>
      <w:r>
        <w:rPr>
          <w:rFonts w:ascii="Calibri" w:hAnsi="Calibri"/>
          <w:b w:val="0"/>
          <w:color w:val="646464"/>
          <w:sz w:val="20"/>
        </w:rPr>
        <w:t>==================================================</w:t>
      </w:r>
    </w:p>
    <w:p>
      <w:pPr>
        <w:jc w:val="center"/>
      </w:pPr>
      <w:r>
        <w:rPr>
          <w:rFonts w:ascii="Calibri" w:hAnsi="Calibri"/>
          <w:b/>
          <w:color w:val="3C3C3C"/>
          <w:sz w:val="22"/>
        </w:rPr>
        <w:t>ARTICLE BODY</w:t>
      </w:r>
    </w:p>
    <w:p>
      <w:pPr>
        <w:jc w:val="center"/>
      </w:pPr>
      <w:r>
        <w:rPr>
          <w:rFonts w:ascii="Calibri" w:hAnsi="Calibri"/>
          <w:b w:val="0"/>
          <w:color w:val="646464"/>
          <w:sz w:val="20"/>
        </w:rPr>
        <w:t>==================================================</w:t>
      </w:r>
    </w:p>
    <w:p/>
    <w:p>
      <w:pPr>
        <w:spacing w:after="240"/>
      </w:pPr>
      <w:r>
        <w:rPr>
          <w:rFonts w:ascii="Calibri" w:hAnsi="Calibri"/>
          <w:b/>
          <w:sz w:val="24"/>
        </w:rPr>
        <w:t>Your AI credit model scores perfectly in testing. In production, your compliance team can't explain a single decision to regulators — not because the decisions are wrong, but because the architecture around them wasn't built for examination. The model worked. The system didn't.</w:t>
      </w:r>
    </w:p>
    <w:p>
      <w:pPr>
        <w:spacing w:before="280" w:after="120"/>
      </w:pPr>
      <w:r>
        <w:rPr>
          <w:rFonts w:ascii="Calibri" w:hAnsi="Calibri"/>
          <w:b/>
          <w:color w:val="01013C"/>
          <w:sz w:val="28"/>
        </w:rPr>
        <w:t>The Architecture Problem No One Talks About</w:t>
      </w:r>
    </w:p>
    <w:p>
      <w:pPr>
        <w:spacing w:after="160"/>
      </w:pPr>
      <w:r>
        <w:rPr>
          <w:rFonts w:ascii="Calibri" w:hAnsi="Calibri"/>
          <w:b w:val="0"/>
          <w:sz w:val="22"/>
        </w:rPr>
        <w:t>McKinsey estimates AI could add $200-340 billion in annual value to global banking - roughly 9-15% of operating profits. That potential is real. But it assumes production-ready systems, not proof-of-concept models that stall before examination.</w:t>
      </w:r>
    </w:p>
    <w:p>
      <w:pPr>
        <w:spacing w:after="160"/>
      </w:pPr>
      <w:r>
        <w:rPr>
          <w:rFonts w:ascii="Calibri" w:hAnsi="Calibri"/>
          <w:b w:val="0"/>
          <w:sz w:val="22"/>
        </w:rPr>
        <w:t>Most AI financial risk projects start with model selection. The team benchmarks performance, builds a POC, and presents strong results. Then the production deployment surfaces problems the POC was never designed to catch. The gap between a model that works and an AI risk system that passes examination is an architecture gap - and it shows up in four specific places:</w:t>
      </w:r>
    </w:p>
    <w:p>
      <w:pPr>
        <w:pStyle w:val="ListBullet"/>
        <w:spacing w:after="100"/>
      </w:pPr>
      <w:r>
        <w:rPr>
          <w:rFonts w:ascii="Calibri" w:hAnsi="Calibri"/>
          <w:b/>
          <w:sz w:val="22"/>
        </w:rPr>
        <w:t>Explainability:</w:t>
      </w:r>
      <w:r>
        <w:rPr>
          <w:rFonts w:ascii="Calibri" w:hAnsi="Calibri"/>
          <w:b w:val="0"/>
          <w:sz w:val="22"/>
        </w:rPr>
        <w:t xml:space="preserve"> Regulators require automated credit and risk decisions to be defensible to the examiner, not just accurate in aggregate. A model that cannot produce the reasoning behind each decision is not deployable in a regulated environment.</w:t>
      </w:r>
    </w:p>
    <w:p>
      <w:pPr>
        <w:pStyle w:val="ListBullet"/>
        <w:spacing w:after="100"/>
      </w:pPr>
      <w:r>
        <w:rPr>
          <w:rFonts w:ascii="Calibri" w:hAnsi="Calibri"/>
          <w:b/>
          <w:sz w:val="22"/>
        </w:rPr>
        <w:t>Data lineage:</w:t>
      </w:r>
      <w:r>
        <w:rPr>
          <w:rFonts w:ascii="Calibri" w:hAnsi="Calibri"/>
          <w:b w:val="0"/>
          <w:sz w:val="22"/>
        </w:rPr>
        <w:t xml:space="preserve"> Every feature feeding a risk score needs a documented trail from source to feature computation - traceable on demand when an examiner asks.</w:t>
      </w:r>
    </w:p>
    <w:p>
      <w:pPr>
        <w:pStyle w:val="ListBullet"/>
        <w:spacing w:after="100"/>
      </w:pPr>
      <w:r>
        <w:rPr>
          <w:rFonts w:ascii="Calibri" w:hAnsi="Calibri"/>
          <w:b/>
          <w:sz w:val="22"/>
        </w:rPr>
        <w:t>Drift monitoring:</w:t>
      </w:r>
      <w:r>
        <w:rPr>
          <w:rFonts w:ascii="Calibri" w:hAnsi="Calibri"/>
          <w:b w:val="0"/>
          <w:sz w:val="22"/>
        </w:rPr>
        <w:t xml:space="preserve"> A model trained in one economic environment degrades as conditions change. Production systems need automated detection that flags problems before downstream risk events surface them.</w:t>
      </w:r>
    </w:p>
    <w:p>
      <w:pPr>
        <w:pStyle w:val="ListBullet"/>
        <w:spacing w:after="100"/>
      </w:pPr>
      <w:r>
        <w:rPr>
          <w:rFonts w:ascii="Calibri" w:hAnsi="Calibri"/>
          <w:b/>
          <w:sz w:val="22"/>
        </w:rPr>
        <w:t>Decision audit trail:</w:t>
      </w:r>
      <w:r>
        <w:rPr>
          <w:rFonts w:ascii="Calibri" w:hAnsi="Calibri"/>
          <w:b w:val="0"/>
          <w:sz w:val="22"/>
        </w:rPr>
        <w:t xml:space="preserve"> Every AI risk decision needs a logged record of model version, input features, and score threshold at the time - this is minimum architecture, not a reporting add-on.</w:t>
      </w:r>
    </w:p>
    <w:p>
      <w:pPr>
        <w:spacing w:after="160"/>
      </w:pPr>
      <w:r>
        <w:rPr>
          <w:rFonts w:ascii="Calibri" w:hAnsi="Calibri"/>
          <w:b w:val="0"/>
          <w:sz w:val="22"/>
        </w:rPr>
        <w:t>None of these are post-deployment additions. They need to be designed into the system architecture before the first production inference runs.</w:t>
      </w:r>
    </w:p>
    <w:p>
      <w:pPr>
        <w:spacing w:before="280" w:after="120"/>
      </w:pPr>
      <w:r>
        <w:rPr>
          <w:rFonts w:ascii="Calibri" w:hAnsi="Calibri"/>
          <w:b/>
          <w:color w:val="01013C"/>
          <w:sz w:val="28"/>
        </w:rPr>
        <w:t>Ethical AI in Finance Is an Engineering Problem, Not a Policy Decision</w:t>
      </w:r>
    </w:p>
    <w:p>
      <w:pPr>
        <w:spacing w:after="160"/>
      </w:pPr>
      <w:r>
        <w:rPr>
          <w:rFonts w:ascii="Calibri" w:hAnsi="Calibri"/>
          <w:b w:val="0"/>
          <w:sz w:val="22"/>
        </w:rPr>
        <w:t>Bias in credit scoring, opacity in underwriting, disparate impact across demographic groups - these are well-documented challenges in AI financial risk management. They are not resolved by selecting an ethical AI framework and attaching it to an existing model. They are resolved by building specific technical controls into the development and deployment pipeline.</w:t>
      </w:r>
    </w:p>
    <w:p>
      <w:pPr>
        <w:pStyle w:val="ListBullet"/>
        <w:spacing w:after="100"/>
      </w:pPr>
      <w:r>
        <w:rPr>
          <w:rFonts w:ascii="Calibri" w:hAnsi="Calibri"/>
          <w:b/>
          <w:sz w:val="22"/>
        </w:rPr>
        <w:t>Bias detection:</w:t>
      </w:r>
      <w:r>
        <w:rPr>
          <w:rFonts w:ascii="Calibri" w:hAnsi="Calibri"/>
          <w:b w:val="0"/>
          <w:sz w:val="22"/>
        </w:rPr>
        <w:t xml:space="preserve"> Run this on training data before model training begins. Protected class proxies in zip codes, names, or spending patterns produce biased outputs even when those features are explicitly excluded.</w:t>
      </w:r>
    </w:p>
    <w:p>
      <w:pPr>
        <w:pStyle w:val="ListBullet"/>
        <w:spacing w:after="100"/>
      </w:pPr>
      <w:r>
        <w:rPr>
          <w:rFonts w:ascii="Calibri" w:hAnsi="Calibri"/>
          <w:b/>
          <w:sz w:val="22"/>
        </w:rPr>
        <w:t>Disparate impact testing:</w:t>
      </w:r>
      <w:r>
        <w:rPr>
          <w:rFonts w:ascii="Calibri" w:hAnsi="Calibri"/>
          <w:b w:val="0"/>
          <w:sz w:val="22"/>
        </w:rPr>
        <w:t xml:space="preserve"> Test for differential outcomes across demographic groups using regulatory-grade statistical methods before production deployment, with results documented for examination.</w:t>
      </w:r>
    </w:p>
    <w:p>
      <w:pPr>
        <w:pStyle w:val="ListBullet"/>
        <w:spacing w:after="100"/>
      </w:pPr>
      <w:r>
        <w:rPr>
          <w:rFonts w:ascii="Calibri" w:hAnsi="Calibri"/>
          <w:b/>
          <w:sz w:val="22"/>
        </w:rPr>
        <w:t>Human review pathways:</w:t>
      </w:r>
      <w:r>
        <w:rPr>
          <w:rFonts w:ascii="Calibri" w:hAnsi="Calibri"/>
          <w:b w:val="0"/>
          <w:sz w:val="22"/>
        </w:rPr>
        <w:t xml:space="preserve"> Build accessible recourse for any AI-assisted decision that negatively affects a consumer - the automation is appropriate; the absence of recourse is not.</w:t>
      </w:r>
    </w:p>
    <w:p>
      <w:pPr>
        <w:pStyle w:val="ListBullet"/>
        <w:spacing w:after="100"/>
      </w:pPr>
      <w:r>
        <w:rPr>
          <w:rFonts w:ascii="Calibri" w:hAnsi="Calibri"/>
          <w:b/>
          <w:sz w:val="22"/>
        </w:rPr>
        <w:t>Model cards:</w:t>
      </w:r>
      <w:r>
        <w:rPr>
          <w:rFonts w:ascii="Calibri" w:hAnsi="Calibri"/>
          <w:b w:val="0"/>
          <w:sz w:val="22"/>
        </w:rPr>
        <w:t xml:space="preserve"> Maintain version-controlled documentation of training data, performance across demographic subgroups, known limitations, and intended use cases alongside every model version.</w:t>
      </w:r>
    </w:p>
    <w:p>
      <w:pPr>
        <w:spacing w:after="160"/>
      </w:pPr>
      <w:r>
        <w:rPr>
          <w:rFonts w:ascii="Calibri" w:hAnsi="Calibri"/>
          <w:b w:val="0"/>
          <w:sz w:val="22"/>
        </w:rPr>
        <w:t>Firms working with AI consulting partners should expect these controls in the architecture specification - not as retrospective additions if a regulatory question arises.</w:t>
      </w:r>
    </w:p>
    <w:p>
      <w:pPr>
        <w:spacing w:before="280" w:after="120"/>
      </w:pPr>
      <w:r>
        <w:rPr>
          <w:rFonts w:ascii="Calibri" w:hAnsi="Calibri"/>
          <w:b/>
          <w:color w:val="01013C"/>
          <w:sz w:val="28"/>
        </w:rPr>
        <w:t>How Risk Domains Shape What You Actually Build</w:t>
      </w:r>
    </w:p>
    <w:p>
      <w:pPr>
        <w:spacing w:after="160"/>
      </w:pPr>
      <w:r>
        <w:rPr>
          <w:rFonts w:ascii="Calibri" w:hAnsi="Calibri"/>
          <w:b w:val="0"/>
          <w:sz w:val="22"/>
        </w:rPr>
        <w:t>The specific implementation of AI decision-making varies by risk domain, but the underlying infrastructure requirements are consistent.</w:t>
      </w:r>
    </w:p>
    <w:p>
      <w:pPr>
        <w:pStyle w:val="ListBullet"/>
        <w:spacing w:after="100"/>
      </w:pPr>
      <w:r>
        <w:rPr>
          <w:rFonts w:ascii="Calibri" w:hAnsi="Calibri"/>
          <w:b/>
          <w:sz w:val="22"/>
        </w:rPr>
        <w:t>Credit risk:</w:t>
      </w:r>
      <w:r>
        <w:rPr>
          <w:rFonts w:ascii="Calibri" w:hAnsi="Calibri"/>
          <w:b w:val="0"/>
          <w:sz w:val="22"/>
        </w:rPr>
        <w:t xml:space="preserve"> The model provides the score; the decision engine applies it against a policy matrix encoding the institution's risk appetite and regulatory obligations. Keeping these layers separate means policy changes don't require model retraining, and model updates don't require policy review.</w:t>
      </w:r>
    </w:p>
    <w:p>
      <w:pPr>
        <w:pStyle w:val="ListBullet"/>
        <w:spacing w:after="100"/>
      </w:pPr>
      <w:r>
        <w:rPr>
          <w:rFonts w:ascii="Calibri" w:hAnsi="Calibri"/>
          <w:b/>
          <w:sz w:val="22"/>
        </w:rPr>
        <w:t>Fraud detection:</w:t>
      </w:r>
      <w:r>
        <w:rPr>
          <w:rFonts w:ascii="Calibri" w:hAnsi="Calibri"/>
          <w:b w:val="0"/>
          <w:sz w:val="22"/>
        </w:rPr>
        <w:t xml:space="preserve"> Decision time is measured in milliseconds. Architecture priorities shift toward inference latency, feature computation speed, and false positive rate management. The operating point on the precision-recall curve is a business decision, not a model decision.</w:t>
      </w:r>
    </w:p>
    <w:p>
      <w:pPr>
        <w:pStyle w:val="ListBullet"/>
        <w:spacing w:after="100"/>
      </w:pPr>
      <w:r>
        <w:rPr>
          <w:rFonts w:ascii="Calibri" w:hAnsi="Calibri"/>
          <w:b/>
          <w:sz w:val="22"/>
        </w:rPr>
        <w:t>Market risk:</w:t>
      </w:r>
      <w:r>
        <w:rPr>
          <w:rFonts w:ascii="Calibri" w:hAnsi="Calibri"/>
          <w:b w:val="0"/>
          <w:sz w:val="22"/>
        </w:rPr>
        <w:t xml:space="preserve"> AI tools extend what is computationally feasible in stress testing, scenario generation, and correlation analysis. Regulatory requirements for model validation are stringent - documentation needs to be part of the development process from the start.</w:t>
      </w:r>
    </w:p>
    <w:p>
      <w:pPr>
        <w:spacing w:before="280" w:after="120"/>
      </w:pPr>
      <w:r>
        <w:rPr>
          <w:rFonts w:ascii="Calibri" w:hAnsi="Calibri"/>
          <w:b/>
          <w:color w:val="01013C"/>
          <w:sz w:val="28"/>
        </w:rPr>
        <w:t>The 3 Architecture Decisions That Define the Next 18 Months</w:t>
      </w:r>
    </w:p>
    <w:p>
      <w:pPr>
        <w:spacing w:after="160"/>
      </w:pPr>
      <w:r>
        <w:rPr>
          <w:rFonts w:ascii="Calibri" w:hAnsi="Calibri"/>
          <w:b w:val="0"/>
          <w:sz w:val="22"/>
        </w:rPr>
        <w:t>The architecture decisions made now will determine whether organisations can adopt next-generation AI risk capabilities - or spend those months refactoring technical debt.</w:t>
      </w:r>
    </w:p>
    <w:p>
      <w:pPr>
        <w:pStyle w:val="ListBullet"/>
        <w:spacing w:after="100"/>
      </w:pPr>
      <w:r>
        <w:rPr>
          <w:rFonts w:ascii="Calibri" w:hAnsi="Calibri"/>
          <w:b/>
          <w:sz w:val="22"/>
        </w:rPr>
        <w:t>Real-time compliance integration:</w:t>
      </w:r>
      <w:r>
        <w:rPr>
          <w:rFonts w:ascii="Calibri" w:hAnsi="Calibri"/>
          <w:b w:val="0"/>
          <w:sz w:val="22"/>
        </w:rPr>
        <w:t xml:space="preserve"> Compliance monitoring is moving toward integration with risk scoring systems. A transaction that triggers a risk score will also trigger simultaneous checks against sanctions lists and jurisdiction-specific obligation registers - this requires risk and compliance systems to share a data infrastructure layer, a design decision that needs to be made now.</w:t>
      </w:r>
    </w:p>
    <w:p>
      <w:pPr>
        <w:pStyle w:val="ListBullet"/>
        <w:spacing w:after="100"/>
      </w:pPr>
      <w:r>
        <w:rPr>
          <w:rFonts w:ascii="Calibri" w:hAnsi="Calibri"/>
          <w:b/>
          <w:sz w:val="22"/>
        </w:rPr>
        <w:t>Audit-native databases:</w:t>
      </w:r>
      <w:r>
        <w:rPr>
          <w:rFonts w:ascii="Calibri" w:hAnsi="Calibri"/>
          <w:b w:val="0"/>
          <w:sz w:val="22"/>
        </w:rPr>
        <w:t xml:space="preserve"> The firms building AI decision workflows are choosing architectures that generate immutable decision logs, time-stamped feature vectors, and model version records as a native output - not as an afterthought.</w:t>
      </w:r>
    </w:p>
    <w:p>
      <w:pPr>
        <w:pStyle w:val="ListBullet"/>
        <w:spacing w:after="100"/>
      </w:pPr>
      <w:r>
        <w:rPr>
          <w:rFonts w:ascii="Calibri" w:hAnsi="Calibri"/>
          <w:b/>
          <w:sz w:val="22"/>
        </w:rPr>
        <w:t>Multimodal risk signals:</w:t>
      </w:r>
      <w:r>
        <w:rPr>
          <w:rFonts w:ascii="Calibri" w:hAnsi="Calibri"/>
          <w:b w:val="0"/>
          <w:sz w:val="22"/>
        </w:rPr>
        <w:t xml:space="preserve"> Voice, document, and behavioural data are entering financial risk feature sets where regulatory guidance permits. Architecture designed only for structured transaction data will require significant refactoring to extend. Building the feature engineering pipeline with extensibility in mind costs nothing now and avoids that rework later.</w:t>
      </w:r>
    </w:p>
    <w:p>
      <w:pPr>
        <w:spacing w:before="280" w:after="120"/>
      </w:pPr>
      <w:r>
        <w:rPr>
          <w:rFonts w:ascii="Calibri" w:hAnsi="Calibri"/>
          <w:b/>
          <w:color w:val="01013C"/>
          <w:sz w:val="28"/>
        </w:rPr>
        <w:t>The Gap That Separates Deployable Systems From Proof of Concepts</w:t>
      </w:r>
    </w:p>
    <w:p>
      <w:pPr>
        <w:spacing w:after="160"/>
      </w:pPr>
      <w:r>
        <w:rPr>
          <w:rFonts w:ascii="Calibri" w:hAnsi="Calibri"/>
          <w:b w:val="0"/>
          <w:sz w:val="22"/>
        </w:rPr>
        <w:t>The gap between a model that works and an AI risk system that passes examination is an architecture gap. Every financial services organisation moving toward AI-driven risk decisions faces it. The ones that close it before production deployment avoid the costly refactoring that comes when a model is live but not examination-ready.</w:t>
      </w:r>
    </w:p>
    <w:p>
      <w:pPr>
        <w:spacing w:after="160"/>
      </w:pPr>
      <w:r>
        <w:rPr>
          <w:rFonts w:ascii="Calibri" w:hAnsi="Calibri"/>
          <w:b w:val="0"/>
          <w:sz w:val="22"/>
        </w:rPr>
        <w:t>The scoping conversation for a production AI risk system starts with what the current architecture is missing. Not with which model to use.</w:t>
      </w:r>
    </w:p>
    <w:p>
      <w:pPr>
        <w:jc w:val="center"/>
        <w:pBdr>
          <w:bottom w:val="single" w:sz="6" w:space="1" w:color="D7D7D7"/>
        </w:pBdr>
      </w:pPr>
    </w:p>
    <w:p/>
    <w:p>
      <w:r>
        <w:rPr>
          <w:rFonts w:ascii="Calibri" w:hAnsi="Calibri"/>
          <w:b w:val="0"/>
          <w:color w:val="282828"/>
          <w:sz w:val="22"/>
        </w:rPr>
        <w:t>Want the full breakdown?</w:t>
        <w:br/>
        <w:t>Read the complete guide on Codiste's blog: [Insert blog URL here]</w:t>
        <w:br/>
        <w:br/>
        <w:t>Building AI decision-making infrastructure for your financial services organisation?</w:t>
        <w:br/>
        <w:t>Connect with Codiste - we help banks, insurers, fintech companies, and credit unions design, build, and scale AI risk systems that meet production and examination standards. Reach out at codiste.com or drop a comment below.</w:t>
      </w:r>
    </w:p>
    <w:p/>
    <w:p>
      <w:pPr>
        <w:jc w:val="center"/>
      </w:pPr>
      <w:r>
        <w:rPr>
          <w:rFonts w:ascii="Calibri" w:hAnsi="Calibri"/>
          <w:b w:val="0"/>
          <w:color w:val="646464"/>
          <w:sz w:val="20"/>
        </w:rPr>
        <w:t>==================================================</w:t>
      </w:r>
    </w:p>
    <w:p>
      <w:pPr>
        <w:jc w:val="center"/>
      </w:pPr>
      <w:r>
        <w:rPr>
          <w:rFonts w:ascii="Calibri" w:hAnsi="Calibri"/>
          <w:b/>
          <w:color w:val="3C3C3C"/>
          <w:sz w:val="22"/>
        </w:rPr>
        <w:t>LINKEDIN CAPTION</w:t>
      </w:r>
    </w:p>
    <w:p>
      <w:pPr>
        <w:jc w:val="center"/>
      </w:pPr>
      <w:r>
        <w:rPr>
          <w:rFonts w:ascii="Calibri" w:hAnsi="Calibri"/>
          <w:b w:val="0"/>
          <w:color w:val="646464"/>
          <w:sz w:val="20"/>
        </w:rPr>
        <w:t>==================================================</w:t>
      </w:r>
    </w:p>
    <w:p/>
    <w:p>
      <w:r>
        <w:rPr>
          <w:rFonts w:ascii="Calibri" w:hAnsi="Calibri"/>
          <w:b/>
          <w:sz w:val="24"/>
        </w:rPr>
        <w:t>The compliance team can't explain your AI decisions to regulators — that's not a model problem, it's an architecture problem.</w:t>
      </w:r>
    </w:p>
    <w:p>
      <w:r>
        <w:rPr>
          <w:rFonts w:ascii="Calibri" w:hAnsi="Calibri"/>
          <w:b w:val="0"/>
          <w:sz w:val="22"/>
        </w:rPr>
        <w:t>Most financial services teams are solving the wrong thing — here's what the examination-ready ones build differently → [article link]</w:t>
      </w:r>
    </w:p>
    <w:p/>
    <w:p>
      <w:r>
        <w:rPr>
          <w:rFonts w:ascii="Calibri" w:hAnsi="Calibri"/>
          <w:b w:val="0"/>
          <w:color w:val="0064C8"/>
          <w:sz w:val="22"/>
        </w:rPr>
        <w:t>#AIRisk #BankingTech #FinancialServices #AIGovernance #FintechCompliance</w:t>
      </w:r>
    </w:p>
    <w:p/>
    <w:p>
      <w:pPr>
        <w:jc w:val="center"/>
      </w:pPr>
      <w:r>
        <w:rPr>
          <w:rFonts w:ascii="Calibri" w:hAnsi="Calibri"/>
          <w:b w:val="0"/>
          <w:color w:val="646464"/>
          <w:sz w:val="20"/>
        </w:rPr>
        <w:t>==================================================</w:t>
      </w:r>
    </w:p>
    <w:p>
      <w:pPr>
        <w:jc w:val="center"/>
      </w:pPr>
      <w:r>
        <w:rPr>
          <w:rFonts w:ascii="Calibri" w:hAnsi="Calibri"/>
          <w:b/>
          <w:color w:val="3C3C3C"/>
          <w:sz w:val="22"/>
        </w:rPr>
        <w:t>PUBLISHING NOTES</w:t>
      </w:r>
    </w:p>
    <w:p>
      <w:pPr>
        <w:jc w:val="center"/>
      </w:pPr>
      <w:r>
        <w:rPr>
          <w:rFonts w:ascii="Calibri" w:hAnsi="Calibri"/>
          <w:b w:val="0"/>
          <w:color w:val="646464"/>
          <w:sz w:val="20"/>
        </w:rPr>
        <w:t>==================================================</w:t>
      </w:r>
    </w:p>
    <w:p/>
    <w:p>
      <w:pPr>
        <w:spacing w:after="80"/>
      </w:pPr>
      <w:r>
        <w:rPr>
          <w:rFonts w:ascii="Calibri" w:hAnsi="Calibri"/>
          <w:b w:val="0"/>
          <w:color w:val="505050"/>
          <w:sz w:val="20"/>
        </w:rPr>
        <w:t>• Word count: ~760 words</w:t>
      </w:r>
    </w:p>
    <w:p>
      <w:pPr>
        <w:spacing w:after="80"/>
      </w:pPr>
      <w:r>
        <w:rPr>
          <w:rFonts w:ascii="Calibri" w:hAnsi="Calibri"/>
          <w:b w:val="0"/>
          <w:color w:val="505050"/>
          <w:sz w:val="20"/>
        </w:rPr>
        <w:t>• Estimated read time: 3-4 min</w:t>
      </w:r>
    </w:p>
    <w:p>
      <w:pPr>
        <w:spacing w:after="80"/>
      </w:pPr>
      <w:r>
        <w:rPr>
          <w:rFonts w:ascii="Calibri" w:hAnsi="Calibri"/>
          <w:b w:val="0"/>
          <w:color w:val="505050"/>
          <w:sz w:val="20"/>
        </w:rPr>
        <w:t>• Remember to: add the blog URL in the CTA block</w:t>
      </w:r>
    </w:p>
    <w:p>
      <w:pPr>
        <w:spacing w:after="80"/>
      </w:pPr>
      <w:r>
        <w:rPr>
          <w:rFonts w:ascii="Calibri" w:hAnsi="Calibri"/>
          <w:b w:val="0"/>
          <w:color w:val="505050"/>
          <w:sz w:val="20"/>
        </w:rPr>
        <w:t>• Banner files: codiste-banner-ai-risk-model-banks.png / .jpg</w:t>
      </w:r>
    </w:p>
    <w:p>
      <w:pPr>
        <w:spacing w:after="80"/>
      </w:pPr>
      <w:r>
        <w:rPr>
          <w:rFonts w:ascii="Calibri" w:hAnsi="Calibri"/>
          <w:b w:val="0"/>
          <w:color w:val="505050"/>
          <w:sz w:val="20"/>
        </w:rPr>
        <w:t>• Generated: 29 April 2026</w:t>
      </w:r>
    </w:p>
    <w:p>
      <w:pPr>
        <w:spacing w:after="80"/>
      </w:pPr>
      <w:r>
        <w:rPr>
          <w:rFonts w:ascii="Calibri" w:hAnsi="Calibri"/>
          <w:b w:val="0"/>
          <w:color w:val="505050"/>
          <w:sz w:val="20"/>
        </w:rPr>
        <w:t>• Target audience: CTOs, fintech leaders, bank executives, compliance officers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