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 w:val="0"/>
          <w:color w:val="646464"/>
          <w:sz w:val="20"/>
        </w:rPr>
        <w:t>==================================================</w:t>
      </w:r>
    </w:p>
    <w:p>
      <w:pPr>
        <w:jc w:val="center"/>
      </w:pPr>
      <w:r>
        <w:rPr>
          <w:rFonts w:ascii="Calibri" w:hAnsi="Calibri"/>
          <w:b/>
          <w:color w:val="3C3C3C"/>
          <w:sz w:val="22"/>
        </w:rPr>
        <w:t>🔷 LINKEDIN ARTICLE — CODISTE</w:t>
      </w:r>
    </w:p>
    <w:p>
      <w:pPr>
        <w:jc w:val="center"/>
      </w:pPr>
      <w:r>
        <w:rPr>
          <w:rFonts w:ascii="Calibri" w:hAnsi="Calibri"/>
          <w:b w:val="0"/>
          <w:color w:val="646464"/>
          <w:sz w:val="20"/>
        </w:rPr>
        <w:t>==================================================</w:t>
      </w:r>
    </w:p>
    <w:p/>
    <w:p>
      <w:r>
        <w:rPr>
          <w:rFonts w:ascii="Calibri" w:hAnsi="Calibri"/>
          <w:b/>
          <w:color w:val="787878"/>
          <w:sz w:val="20"/>
        </w:rPr>
        <w:t>TITLE:</w:t>
      </w:r>
    </w:p>
    <w:p>
      <w:r>
        <w:rPr>
          <w:rFonts w:ascii="Calibri" w:hAnsi="Calibri"/>
          <w:b/>
          <w:color w:val="010101"/>
          <w:sz w:val="40"/>
        </w:rPr>
        <w:t>Scaling Compliance: Why Your Framework Breaks at Market Three</w:t>
      </w:r>
    </w:p>
    <w:p/>
    <w:p>
      <w:r>
        <w:rPr>
          <w:rFonts w:ascii="Calibri" w:hAnsi="Calibri"/>
          <w:b/>
          <w:color w:val="787878"/>
          <w:sz w:val="20"/>
        </w:rPr>
        <w:t>KEYWORDS TO USE AS HASHTAGS:</w:t>
      </w:r>
    </w:p>
    <w:p>
      <w:r>
        <w:rPr>
          <w:rFonts w:ascii="Calibri" w:hAnsi="Calibri"/>
          <w:b w:val="0"/>
          <w:color w:val="0064C8"/>
          <w:sz w:val="22"/>
        </w:rPr>
        <w:t>#GlobalCompliance #RegTech #ComplianceArchitecture #SaaSScaling #RegulatoryTechnology</w:t>
      </w:r>
    </w:p>
    <w:p/>
    <w:p>
      <w:pPr>
        <w:jc w:val="center"/>
      </w:pPr>
      <w:r>
        <w:rPr>
          <w:rFonts w:ascii="Calibri" w:hAnsi="Calibri"/>
          <w:b w:val="0"/>
          <w:color w:val="646464"/>
          <w:sz w:val="20"/>
        </w:rPr>
        <w:t>==================================================</w:t>
      </w:r>
    </w:p>
    <w:p>
      <w:pPr>
        <w:jc w:val="center"/>
      </w:pPr>
      <w:r>
        <w:rPr>
          <w:rFonts w:ascii="Calibri" w:hAnsi="Calibri"/>
          <w:b/>
          <w:color w:val="3C3C3C"/>
          <w:sz w:val="22"/>
        </w:rPr>
        <w:t>ARTICLE BODY</w:t>
      </w:r>
    </w:p>
    <w:p>
      <w:pPr>
        <w:jc w:val="center"/>
      </w:pPr>
      <w:r>
        <w:rPr>
          <w:rFonts w:ascii="Calibri" w:hAnsi="Calibri"/>
          <w:b w:val="0"/>
          <w:color w:val="646464"/>
          <w:sz w:val="20"/>
        </w:rPr>
        <w:t>==================================================</w:t>
      </w:r>
    </w:p>
    <w:p/>
    <w:p>
      <w:pPr>
        <w:spacing w:after="240"/>
      </w:pPr>
      <w:r>
        <w:rPr>
          <w:rFonts w:ascii="Calibri" w:hAnsi="Calibri"/>
          <w:b/>
          <w:sz w:val="24"/>
        </w:rPr>
        <w:t>Most enterprises think they have a compliance strategy. What they actually have is a single-jurisdiction implementation — one that looks like a framework until market three.</w:t>
        <w:br/>
        <w:br/>
        <w:t>By the third new market, the pattern is impossible to ignore. Each new jurisdiction costs 70–80% of the effort of the first. That’s not regulatory complexity. That’s an architecture failure hiding in plain sight.</w:t>
      </w:r>
    </w:p>
    <w:p>
      <w:pPr>
        <w:spacing w:before="280" w:after="120"/>
      </w:pPr>
      <w:r>
        <w:rPr>
          <w:rFonts w:ascii="Calibri" w:hAnsi="Calibri"/>
          <w:b/>
          <w:color w:val="01013C"/>
          <w:sz w:val="28"/>
        </w:rPr>
        <w:t>Why Global Compliance Frameworks Fail Before They Scale</w:t>
      </w:r>
    </w:p>
    <w:p>
      <w:pPr>
        <w:spacing w:after="160"/>
      </w:pPr>
      <w:r>
        <w:rPr>
          <w:rFonts w:ascii="Calibri" w:hAnsi="Calibri"/>
          <w:b w:val="0"/>
          <w:sz w:val="22"/>
        </w:rPr>
        <w:t>A SaaS company closes its Series B and expands into three new markets in eighteen months. The product team hits their roadmap. The compliance team spends the same period rebuilding from scratch for each jurisdiction — at a cost that nobody modelled in the growth plan.</w:t>
      </w:r>
    </w:p>
    <w:p>
      <w:pPr>
        <w:spacing w:after="160"/>
      </w:pPr>
      <w:r>
        <w:rPr>
          <w:rFonts w:ascii="Calibri" w:hAnsi="Calibri"/>
          <w:b w:val="0"/>
          <w:sz w:val="22"/>
        </w:rPr>
        <w:t>The root cause is structural: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The initial build:</w:t>
      </w:r>
      <w:r>
        <w:rPr>
          <w:rFonts w:ascii="Calibri" w:hAnsi="Calibri"/>
          <w:b w:val="0"/>
          <w:sz w:val="22"/>
        </w:rPr>
        <w:t xml:space="preserve"> didn’t separate transferable compliance logic from jurisdiction-specific requirements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Each new market:</w:t>
      </w:r>
      <w:r>
        <w:rPr>
          <w:rFonts w:ascii="Calibri" w:hAnsi="Calibri"/>
          <w:b w:val="0"/>
          <w:sz w:val="22"/>
        </w:rPr>
        <w:t xml:space="preserve"> gets treated as a ground-up rebuild, not a configuration layer on shared infrastructure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The architecture:</w:t>
      </w:r>
      <w:r>
        <w:rPr>
          <w:rFonts w:ascii="Calibri" w:hAnsi="Calibri"/>
          <w:b w:val="0"/>
          <w:sz w:val="22"/>
        </w:rPr>
        <w:t xml:space="preserve"> was built for one regulatory context — and every new context demands its own version</w:t>
      </w:r>
    </w:p>
    <w:p>
      <w:pPr>
        <w:spacing w:after="160"/>
      </w:pPr>
      <w:r>
        <w:rPr>
          <w:rFonts w:ascii="Calibri" w:hAnsi="Calibri"/>
          <w:b w:val="0"/>
          <w:sz w:val="22"/>
        </w:rPr>
        <w:t>According to PwC, 85% of executives globally say compliance requirements have become more complex in the last three years, rising to 90% in financial services. The answer isn’t more compliance headcount per market. It’s architecture designed to scale before market two.</w:t>
      </w:r>
    </w:p>
    <w:p>
      <w:pPr>
        <w:spacing w:before="280" w:after="120"/>
      </w:pPr>
      <w:r>
        <w:rPr>
          <w:rFonts w:ascii="Calibri" w:hAnsi="Calibri"/>
          <w:b/>
          <w:color w:val="01013C"/>
          <w:sz w:val="28"/>
        </w:rPr>
        <w:t>The Three-Layer Architecture That Actually Scales</w:t>
      </w:r>
    </w:p>
    <w:p>
      <w:pPr>
        <w:spacing w:after="160"/>
      </w:pPr>
      <w:r>
        <w:rPr>
          <w:rFonts w:ascii="Calibri" w:hAnsi="Calibri"/>
          <w:b w:val="0"/>
          <w:sz w:val="22"/>
        </w:rPr>
        <w:t>Organisations that enter new markets without proportional compliance cost growth share one structural characteristic: they separated three layers explicitly before entering their second market.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Core compliance infrastructure:</w:t>
      </w:r>
      <w:r>
        <w:rPr>
          <w:rFonts w:ascii="Calibri" w:hAnsi="Calibri"/>
          <w:b w:val="0"/>
          <w:sz w:val="22"/>
        </w:rPr>
        <w:t>: Audit trail generation, policy versioning, and reporting pipelines — built once, deployed across all markets without modification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Jurisdictional configuration:</w:t>
      </w:r>
      <w:r>
        <w:rPr>
          <w:rFonts w:ascii="Calibri" w:hAnsi="Calibri"/>
          <w:b w:val="0"/>
          <w:sz w:val="22"/>
        </w:rPr>
        <w:t>: Data residency rules, consent formats, and reporting deadlines — configured per market as an additive layer on top of shared infrastructure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Regulatory monitoring:</w:t>
      </w:r>
      <w:r>
        <w:rPr>
          <w:rFonts w:ascii="Calibri" w:hAnsi="Calibri"/>
          <w:b w:val="0"/>
          <w:sz w:val="22"/>
        </w:rPr>
        <w:t>: Change detection, obligation mapping, and threshold alerts — market-specific in its inputs, shared in its architecture</w:t>
      </w:r>
    </w:p>
    <w:p>
      <w:pPr>
        <w:spacing w:after="160"/>
      </w:pPr>
      <w:r>
        <w:rPr>
          <w:rFonts w:ascii="Calibri" w:hAnsi="Calibri"/>
          <w:b w:val="0"/>
          <w:sz w:val="22"/>
        </w:rPr>
        <w:t>This separation is an architecture decision, not a platform purchase. It needs to be made before selecting a compliance platform — not after the scaling problem surfaces at market three. Global compliance architecture built for scale treats each new market as a configuration layer, not a rebuild.</w:t>
      </w:r>
    </w:p>
    <w:p>
      <w:pPr>
        <w:spacing w:before="280" w:after="120"/>
      </w:pPr>
      <w:r>
        <w:rPr>
          <w:rFonts w:ascii="Calibri" w:hAnsi="Calibri"/>
          <w:b/>
          <w:color w:val="01013C"/>
          <w:sz w:val="28"/>
        </w:rPr>
        <w:t>What Scalable Compliance Services Actually Need to Deliver</w:t>
      </w:r>
    </w:p>
    <w:p>
      <w:pPr>
        <w:spacing w:after="160"/>
      </w:pPr>
      <w:r>
        <w:rPr>
          <w:rFonts w:ascii="Calibri" w:hAnsi="Calibri"/>
          <w:b w:val="0"/>
          <w:sz w:val="22"/>
        </w:rPr>
        <w:t>Most compliance platforms solve the first-market problem well. The scaling problem, they solve poorly. When a client enters a new jurisdiction, the platform either lacks coverage or requires a vendor engagement to extend it.</w:t>
      </w:r>
    </w:p>
    <w:p>
      <w:pPr>
        <w:spacing w:after="160"/>
      </w:pPr>
      <w:r>
        <w:rPr>
          <w:rFonts w:ascii="Calibri" w:hAnsi="Calibri"/>
          <w:b w:val="0"/>
          <w:sz w:val="22"/>
        </w:rPr>
        <w:t>The features that separate scalable from non-scalable compliance architecture: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Jurisdictional rule engine:</w:t>
      </w:r>
      <w:r>
        <w:rPr>
          <w:rFonts w:ascii="Calibri" w:hAnsi="Calibri"/>
          <w:b w:val="0"/>
          <w:sz w:val="22"/>
        </w:rPr>
        <w:t>: Regulatory requirements expressed as configurable rules, not hard-coded logic — new markets require rule additions, not code changes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Policy versioning with rollback:</w:t>
      </w:r>
      <w:r>
        <w:rPr>
          <w:rFonts w:ascii="Calibri" w:hAnsi="Calibri"/>
          <w:b w:val="0"/>
          <w:sz w:val="22"/>
        </w:rPr>
        <w:t>: Regulatory guidance changes should be a content management operation, not a system deployment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Consent and data residency routing:</w:t>
      </w:r>
      <w:r>
        <w:rPr>
          <w:rFonts w:ascii="Calibri" w:hAnsi="Calibri"/>
          <w:b w:val="0"/>
          <w:sz w:val="22"/>
        </w:rPr>
        <w:t>: Data routed to the correct processing environment at point of capture, not retroactively at reporting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Multi-jurisdiction reporting pipeline:</w:t>
      </w:r>
      <w:r>
        <w:rPr>
          <w:rFonts w:ascii="Calibri" w:hAnsi="Calibri"/>
          <w:b w:val="0"/>
          <w:sz w:val="22"/>
        </w:rPr>
        <w:t>: One abstracted submission layer so compliance teams manage content, not infrastructure</w:t>
      </w:r>
    </w:p>
    <w:p>
      <w:pPr>
        <w:spacing w:before="280" w:after="120"/>
      </w:pPr>
      <w:r>
        <w:rPr>
          <w:rFonts w:ascii="Calibri" w:hAnsi="Calibri"/>
          <w:b/>
          <w:color w:val="01013C"/>
          <w:sz w:val="28"/>
        </w:rPr>
        <w:t>How Leading Teams Scale Without Growing Compliance Headcount</w:t>
      </w:r>
    </w:p>
    <w:p>
      <w:pPr>
        <w:spacing w:after="160"/>
      </w:pPr>
      <w:r>
        <w:rPr>
          <w:rFonts w:ascii="Calibri" w:hAnsi="Calibri"/>
          <w:b w:val="0"/>
          <w:sz w:val="22"/>
        </w:rPr>
        <w:t>The compliance teams managing global regulatory obligations without proportional headcount growth have made one critical distinction: they separate the work that requires human judgment from the work that doesn’t.</w:t>
      </w:r>
    </w:p>
    <w:p>
      <w:pPr>
        <w:spacing w:after="160"/>
      </w:pPr>
      <w:r>
        <w:rPr>
          <w:rFonts w:ascii="Calibri" w:hAnsi="Calibri"/>
          <w:b w:val="0"/>
          <w:sz w:val="22"/>
        </w:rPr>
        <w:t>Human judgment is required for regulatory interpretation, responding to regulatory inquiries, and assessing whether a flagged risk pattern warrants escalation. It is not required for evidence collection, report generation, audit trail assembly, policy distribution, or consent capture. These should be automated as compliance infrastructure.</w:t>
      </w:r>
    </w:p>
    <w:p>
      <w:pPr>
        <w:spacing w:after="160"/>
      </w:pPr>
      <w:r>
        <w:rPr>
          <w:rFonts w:ascii="Calibri" w:hAnsi="Calibri"/>
          <w:b w:val="0"/>
          <w:sz w:val="22"/>
        </w:rPr>
        <w:t>Gartner projects that fragmented AI regulation will cover 50% of the world’s economies by 2027, driving $5 billion in compliance investment — disproportionately hitting firms without scalable architecture.</w:t>
      </w:r>
    </w:p>
    <w:p>
      <w:pPr>
        <w:spacing w:after="160"/>
      </w:pPr>
      <w:r>
        <w:rPr>
          <w:rFonts w:ascii="Calibri" w:hAnsi="Calibri"/>
          <w:b w:val="0"/>
          <w:sz w:val="22"/>
        </w:rPr>
        <w:t>The organisations winning at global compliance have built systems where: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Regulatory change monitoring:</w:t>
      </w:r>
      <w:r>
        <w:rPr>
          <w:rFonts w:ascii="Calibri" w:hAnsi="Calibri"/>
          <w:b w:val="0"/>
          <w:sz w:val="22"/>
        </w:rPr>
        <w:t xml:space="preserve"> feeds directly into obligation mapping, reducing manual tracking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Evidence:</w:t>
      </w:r>
      <w:r>
        <w:rPr>
          <w:rFonts w:ascii="Calibri" w:hAnsi="Calibri"/>
          <w:b w:val="0"/>
          <w:sz w:val="22"/>
        </w:rPr>
        <w:t xml:space="preserve"> is collected automatically from source systems, not assembled manually before each audit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Compliance dashboards:</w:t>
      </w:r>
      <w:r>
        <w:rPr>
          <w:rFonts w:ascii="Calibri" w:hAnsi="Calibri"/>
          <w:b w:val="0"/>
          <w:sz w:val="22"/>
        </w:rPr>
        <w:t xml:space="preserve"> surface the current status of every regulatory obligation by jurisdiction</w:t>
      </w:r>
    </w:p>
    <w:p>
      <w:pPr>
        <w:spacing w:before="280" w:after="120"/>
      </w:pPr>
      <w:r>
        <w:rPr>
          <w:rFonts w:ascii="Calibri" w:hAnsi="Calibri"/>
          <w:b/>
          <w:color w:val="01013C"/>
          <w:sz w:val="28"/>
        </w:rPr>
        <w:t>The Architecture Builds Before Market Three or Pays for It After</w:t>
      </w:r>
    </w:p>
    <w:p>
      <w:pPr>
        <w:spacing w:after="160"/>
      </w:pPr>
      <w:r>
        <w:rPr>
          <w:rFonts w:ascii="Calibri" w:hAnsi="Calibri"/>
          <w:b w:val="0"/>
          <w:sz w:val="22"/>
        </w:rPr>
        <w:t>Every market entered without a scalable compliance architecture is a market that will need retrofitting later — at a higher cost. The firms growing fastest across multiple jurisdictions didn’t hire more compliance headcount per market. They built infrastructure that made each entry cheaper than the last.</w:t>
      </w:r>
    </w:p>
    <w:p>
      <w:pPr>
        <w:spacing w:after="160"/>
      </w:pPr>
      <w:r>
        <w:rPr>
          <w:rFonts w:ascii="Calibri" w:hAnsi="Calibri"/>
          <w:b w:val="0"/>
          <w:sz w:val="22"/>
        </w:rPr>
        <w:t>That architecture is buildable on what most organisations already have. The gap is usually not technology — it’s the design decision separating the transferable from the jurisdiction-specific, made before market two forces the issue.</w:t>
      </w:r>
    </w:p>
    <w:p>
      <w:pPr>
        <w:jc w:val="center"/>
        <w:pBdr>
          <w:bottom w:val="single" w:sz="6" w:space="1" w:color="D7D7D7"/>
        </w:pBdr>
      </w:pPr>
    </w:p>
    <w:p/>
    <w:p>
      <w:r>
        <w:rPr>
          <w:rFonts w:ascii="Calibri" w:hAnsi="Calibri"/>
          <w:b w:val="0"/>
          <w:color w:val="282828"/>
          <w:sz w:val="22"/>
        </w:rPr>
        <w:t>🔗 Want the full breakdown?</w:t>
        <w:br/>
        <w:t>Read the complete guide on Codiste’s blog: [Insert blog URL here]</w:t>
        <w:br/>
        <w:br/>
        <w:t>🤝 Scaling compliance into new markets?</w:t>
        <w:br/>
        <w:t>Connect with Codiste — we help SaaS companies, e-commerce platforms, and multinational enterprises design, build, and scale compliance architectures that make each market entry cheaper than the last. Reach out at codiste.com or drop a comment below.</w:t>
      </w:r>
    </w:p>
    <w:p/>
    <w:p>
      <w:pPr>
        <w:jc w:val="center"/>
      </w:pPr>
      <w:r>
        <w:rPr>
          <w:rFonts w:ascii="Calibri" w:hAnsi="Calibri"/>
          <w:b w:val="0"/>
          <w:color w:val="646464"/>
          <w:sz w:val="20"/>
        </w:rPr>
        <w:t>==================================================</w:t>
      </w:r>
    </w:p>
    <w:p>
      <w:pPr>
        <w:jc w:val="center"/>
      </w:pPr>
      <w:r>
        <w:rPr>
          <w:rFonts w:ascii="Calibri" w:hAnsi="Calibri"/>
          <w:b/>
          <w:color w:val="3C3C3C"/>
          <w:sz w:val="22"/>
        </w:rPr>
        <w:t>💬 LINKEDIN CAPTION</w:t>
      </w:r>
    </w:p>
    <w:p>
      <w:pPr>
        <w:jc w:val="center"/>
      </w:pPr>
      <w:r>
        <w:rPr>
          <w:rFonts w:ascii="Calibri" w:hAnsi="Calibri"/>
          <w:b w:val="0"/>
          <w:color w:val="646464"/>
          <w:sz w:val="20"/>
        </w:rPr>
        <w:t>==================================================</w:t>
      </w:r>
    </w:p>
    <w:p/>
    <w:p>
      <w:r>
        <w:rPr>
          <w:rFonts w:ascii="Calibri" w:hAnsi="Calibri"/>
          <w:b/>
          <w:sz w:val="24"/>
        </w:rPr>
        <w:t>𝗠𝗼𝘀𝘁 𝗰𝗼𝗺𝗽𝗹𝗶𝗮𝗻𝗰𝗲 𝘀𝘁𝗿𝗮𝘁𝗲𝗴𝗶𝗲𝘀 𝗮𝗿𝗲 𝘀𝗶𝗻𝗴𝗹𝗲-𝗷𝘂𝗿𝗶𝘀𝗱𝗶𝗰𝘁𝗶𝗼𝗻 𝗶𝗺𝗽𝗹𝗲𝗺𝗲𝗻𝘁𝗮𝘁𝗶𝗼𝗻𝘀 𝘄𝗲𝗮𝗿𝗶𝗻𝗴 𝗮 𝗳𝗿𝗮𝗺𝗲𝘄𝗼𝗿𝗸'𝘀 𝗰𝗹𝗼𝘁𝗵𝗲𝘀 — 𝘁𝗵𝗲 𝗱𝗶𝗳𝗳𝗲𝗿𝗲𝗻𝗰𝗲 𝘀𝗵𝗼𝘄𝘀 𝘂𝗽 𝗮𝘁 𝗺𝗮𝗿𝗸𝗲𝘁 𝘁𝗵𝗿𝗲𝗲.</w:t>
      </w:r>
    </w:p>
    <w:p>
      <w:r>
        <w:rPr>
          <w:rFonts w:ascii="Calibri" w:hAnsi="Calibri"/>
          <w:b w:val="0"/>
          <w:sz w:val="22"/>
        </w:rPr>
        <w:t>Here's the three-layer architecture that makes global market entry cheaper every time, not more expensive → [article link]</w:t>
      </w:r>
    </w:p>
    <w:p/>
    <w:p>
      <w:r>
        <w:rPr>
          <w:rFonts w:ascii="Calibri" w:hAnsi="Calibri"/>
          <w:b w:val="0"/>
          <w:color w:val="0064C8"/>
          <w:sz w:val="22"/>
        </w:rPr>
        <w:t>#GlobalCompliance #ScalingCompliance #RegTech #SaaSGrowth #ComplianceStrategy</w:t>
      </w:r>
    </w:p>
    <w:p/>
    <w:p>
      <w:pPr>
        <w:jc w:val="center"/>
      </w:pPr>
      <w:r>
        <w:rPr>
          <w:rFonts w:ascii="Calibri" w:hAnsi="Calibri"/>
          <w:b w:val="0"/>
          <w:color w:val="646464"/>
          <w:sz w:val="20"/>
        </w:rPr>
        <w:t>==================================================</w:t>
      </w:r>
    </w:p>
    <w:p>
      <w:pPr>
        <w:jc w:val="center"/>
      </w:pPr>
      <w:r>
        <w:rPr>
          <w:rFonts w:ascii="Calibri" w:hAnsi="Calibri"/>
          <w:b/>
          <w:color w:val="3C3C3C"/>
          <w:sz w:val="22"/>
        </w:rPr>
        <w:t>📋 PUBLISHING NOTES</w:t>
      </w:r>
    </w:p>
    <w:p>
      <w:pPr>
        <w:jc w:val="center"/>
      </w:pPr>
      <w:r>
        <w:rPr>
          <w:rFonts w:ascii="Calibri" w:hAnsi="Calibri"/>
          <w:b w:val="0"/>
          <w:color w:val="646464"/>
          <w:sz w:val="20"/>
        </w:rPr>
        <w:t>==================================================</w:t>
      </w:r>
    </w:p>
    <w:p/>
    <w:p>
      <w:pPr>
        <w:spacing w:after="80"/>
      </w:pPr>
      <w:r>
        <w:rPr>
          <w:rFonts w:ascii="Calibri" w:hAnsi="Calibri"/>
          <w:b w:val="0"/>
          <w:color w:val="505050"/>
          <w:sz w:val="20"/>
        </w:rPr>
        <w:t>• Word count: ~750 words</w:t>
      </w:r>
    </w:p>
    <w:p>
      <w:pPr>
        <w:spacing w:after="80"/>
      </w:pPr>
      <w:r>
        <w:rPr>
          <w:rFonts w:ascii="Calibri" w:hAnsi="Calibri"/>
          <w:b w:val="0"/>
          <w:color w:val="505050"/>
          <w:sz w:val="20"/>
        </w:rPr>
        <w:t>• Estimated read time: 3–4 min</w:t>
      </w:r>
    </w:p>
    <w:p>
      <w:pPr>
        <w:spacing w:after="80"/>
      </w:pPr>
      <w:r>
        <w:rPr>
          <w:rFonts w:ascii="Calibri" w:hAnsi="Calibri"/>
          <w:b w:val="0"/>
          <w:color w:val="505050"/>
          <w:sz w:val="20"/>
        </w:rPr>
        <w:t>• Remember to: add the blog URL in the CTA block</w:t>
      </w:r>
    </w:p>
    <w:p>
      <w:pPr>
        <w:spacing w:after="80"/>
      </w:pPr>
      <w:r>
        <w:rPr>
          <w:rFonts w:ascii="Calibri" w:hAnsi="Calibri"/>
          <w:b w:val="0"/>
          <w:color w:val="505050"/>
          <w:sz w:val="20"/>
        </w:rPr>
        <w:t>• Banner files: codiste-banner-scaling-compliance-global-frameworks.png / .jpg</w:t>
      </w:r>
    </w:p>
    <w:p>
      <w:pPr>
        <w:spacing w:after="80"/>
      </w:pPr>
      <w:r>
        <w:rPr>
          <w:rFonts w:ascii="Calibri" w:hAnsi="Calibri"/>
          <w:b w:val="0"/>
          <w:color w:val="505050"/>
          <w:sz w:val="20"/>
        </w:rPr>
        <w:t>• Generated: 29 April 2026</w:t>
      </w:r>
    </w:p>
    <w:p>
      <w:pPr>
        <w:spacing w:after="80"/>
      </w:pPr>
      <w:r>
        <w:rPr>
          <w:rFonts w:ascii="Calibri" w:hAnsi="Calibri"/>
          <w:b w:val="0"/>
          <w:color w:val="505050"/>
          <w:sz w:val="20"/>
        </w:rPr>
        <w:t>• Target audience: CTOs, SaaS founders, compliance officers, multinational enterprise leaders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