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🔷 LINKEDIN ARTICLE — CODISTE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r>
        <w:rPr>
          <w:rFonts w:ascii="Calibri" w:hAnsi="Calibri"/>
          <w:b/>
          <w:color w:val="787878"/>
          <w:sz w:val="20"/>
        </w:rPr>
        <w:t>TITLE:</w:t>
      </w:r>
    </w:p>
    <w:p>
      <w:r>
        <w:rPr>
          <w:rFonts w:ascii="Calibri" w:hAnsi="Calibri"/>
          <w:b/>
          <w:color w:val="010101"/>
          <w:sz w:val="40"/>
        </w:rPr>
        <w:t>Zero-Trust Compliance: The C-Suite Playbook for 2026</w:t>
      </w:r>
    </w:p>
    <w:p/>
    <w:p>
      <w:r>
        <w:rPr>
          <w:rFonts w:ascii="Calibri" w:hAnsi="Calibri"/>
          <w:b/>
          <w:color w:val="787878"/>
          <w:sz w:val="20"/>
        </w:rPr>
        <w:t>KEYWORDS TO USE AS HASHTAGS:</w:t>
      </w:r>
    </w:p>
    <w:p>
      <w:r>
        <w:rPr>
          <w:rFonts w:ascii="Calibri" w:hAnsi="Calibri"/>
          <w:b w:val="0"/>
          <w:color w:val="0064C8"/>
          <w:sz w:val="22"/>
        </w:rPr>
        <w:t>#ZeroTrust #RegTech #AICompliance #FinancialServices #CyberSecurity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ARTICLE BODY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pPr>
        <w:spacing w:after="240"/>
      </w:pPr>
      <w:r>
        <w:rPr>
          <w:rFonts w:ascii="Calibri" w:hAnsi="Calibri"/>
          <w:b/>
          <w:sz w:val="24"/>
        </w:rPr>
        <w:t>84% of organisations experienced identity-related breaches in 2025. Most weren’t technology failures — they were architecture failures. Systems that verified once at login and trusted everything after.</w:t>
        <w:br/>
        <w:br/>
        <w:t>For regulated industries, a single breach isn’t just a security event. It’s a regulatory one. Zero-trust compliance fixes the architecture. AI makes it scale without adding headcount.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Why AI in RegTech Is Now a Zero-Trust Imperative</w:t>
      </w:r>
    </w:p>
    <w:p>
      <w:pPr>
        <w:spacing w:after="160"/>
      </w:pPr>
      <w:r>
        <w:rPr>
          <w:rFonts w:ascii="Calibri" w:hAnsi="Calibri"/>
          <w:b w:val="0"/>
          <w:sz w:val="22"/>
        </w:rPr>
        <w:t>Traditional RegTech focused on automated reporting and static dashboards. Security teams handled zero-trust in separate silos. Today’s reality demands a different approach.</w:t>
      </w:r>
    </w:p>
    <w:p>
      <w:pPr>
        <w:spacing w:after="160"/>
      </w:pPr>
      <w:r>
        <w:rPr>
          <w:rFonts w:ascii="Calibri" w:hAnsi="Calibri"/>
          <w:b w:val="0"/>
          <w:sz w:val="22"/>
        </w:rPr>
        <w:t>AI-enhanced zero-trust controls platforms are merging these two worlds — using AI to continuously re-evaluate access, detect risky behaviour in real time, and trigger compliance alerts when patterns match risk thresholds.</w:t>
      </w:r>
    </w:p>
    <w:p>
      <w:pPr>
        <w:spacing w:after="160"/>
      </w:pPr>
      <w:r>
        <w:rPr>
          <w:rFonts w:ascii="Calibri" w:hAnsi="Calibri"/>
          <w:b w:val="0"/>
          <w:sz w:val="22"/>
        </w:rPr>
        <w:t>For the C-suite, zero-trust compliance is no longer a network security story. It’s a governance, risk, and compliance imperative. If your security and compliance teams still operate in separate silos, your RegTech investment is solving only half the problem. Zero-trust and GRC need a shared data layer, not just a shared meeting.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The C-Suite Blueprint: Three Shifts That Change Everything</w:t>
      </w:r>
    </w:p>
    <w:p>
      <w:pPr>
        <w:spacing w:after="160"/>
      </w:pPr>
      <w:r>
        <w:rPr>
          <w:rFonts w:ascii="Calibri" w:hAnsi="Calibri"/>
          <w:b w:val="0"/>
          <w:sz w:val="22"/>
        </w:rPr>
        <w:t>Aligning AI in RegTech with zero-trust compliance requires three executive-level shifts.</w:t>
      </w:r>
    </w:p>
    <w:p>
      <w:pPr>
        <w:spacing w:after="160"/>
      </w:pPr>
      <w:r>
        <w:rPr>
          <w:rFonts w:ascii="Calibri" w:hAnsi="Calibri"/>
          <w:b w:val="0"/>
          <w:sz w:val="22"/>
        </w:rPr>
        <w:t>Re-frame zero-trust as a compliance enabler, not a security cost: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Every transaction, session, and user:</w:t>
      </w:r>
      <w:r>
        <w:rPr>
          <w:rFonts w:ascii="Calibri" w:hAnsi="Calibri"/>
          <w:b w:val="0"/>
          <w:sz w:val="22"/>
        </w:rPr>
        <w:t xml:space="preserve"> is verified continuously — not just at login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All access decisions:</w:t>
      </w:r>
      <w:r>
        <w:rPr>
          <w:rFonts w:ascii="Calibri" w:hAnsi="Calibri"/>
          <w:b w:val="0"/>
          <w:sz w:val="22"/>
        </w:rPr>
        <w:t xml:space="preserve"> are logged, creating the audit trail regulators require on demand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Compromised credential blast radius:</w:t>
      </w:r>
      <w:r>
        <w:rPr>
          <w:rFonts w:ascii="Calibri" w:hAnsi="Calibri"/>
          <w:b w:val="0"/>
          <w:sz w:val="22"/>
        </w:rPr>
        <w:t xml:space="preserve"> is reduced, directly lowering regulatory risk exposure</w:t>
      </w:r>
    </w:p>
    <w:p>
      <w:pPr>
        <w:spacing w:after="160"/>
      </w:pPr>
      <w:r>
        <w:rPr>
          <w:rFonts w:ascii="Calibri" w:hAnsi="Calibri"/>
          <w:b w:val="0"/>
          <w:sz w:val="22"/>
        </w:rPr>
        <w:t>Embed AI-driven controls into core workflows: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Contextual access:</w:t>
      </w:r>
      <w:r>
        <w:rPr>
          <w:rFonts w:ascii="Calibri" w:hAnsi="Calibri"/>
          <w:b w:val="0"/>
          <w:sz w:val="22"/>
        </w:rPr>
        <w:t>: AI dynamically adjusts permissions based on role, location, device, and real-time behaviour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Real-time monitoring:</w:t>
      </w:r>
      <w:r>
        <w:rPr>
          <w:rFonts w:ascii="Calibri" w:hAnsi="Calibri"/>
          <w:b w:val="0"/>
          <w:sz w:val="22"/>
        </w:rPr>
        <w:t>: AI models flag suspicious patterns before they become incidents — not in a quarterly report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Human-risk scoring dashboards:</w:t>
      </w:r>
      <w:r>
        <w:rPr>
          <w:rFonts w:ascii="Calibri" w:hAnsi="Calibri"/>
          <w:b w:val="0"/>
          <w:sz w:val="22"/>
        </w:rPr>
        <w:t>: identity, activity, and security telemetry combined into a prioritised queue</w:t>
      </w:r>
    </w:p>
    <w:p>
      <w:pPr>
        <w:spacing w:after="160"/>
      </w:pPr>
      <w:r>
        <w:rPr>
          <w:rFonts w:ascii="Calibri" w:hAnsi="Calibri"/>
          <w:b w:val="0"/>
          <w:sz w:val="22"/>
        </w:rPr>
        <w:t>Standardise governance and vendor selection: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Does the platform support AI-driven identity governance:</w:t>
      </w:r>
      <w:r>
        <w:rPr>
          <w:rFonts w:ascii="Calibri" w:hAnsi="Calibri"/>
          <w:b w:val="0"/>
          <w:sz w:val="22"/>
        </w:rPr>
        <w:t xml:space="preserve"> aligned with zero-trust compliance mandates?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How does it integrate with existing GRC tools:</w:t>
      </w:r>
      <w:r>
        <w:rPr>
          <w:rFonts w:ascii="Calibri" w:hAnsi="Calibri"/>
          <w:b w:val="0"/>
          <w:sz w:val="22"/>
        </w:rPr>
        <w:t xml:space="preserve"> for automated regulatory reporting?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What explainability does its AI provide:</w:t>
      </w:r>
      <w:r>
        <w:rPr>
          <w:rFonts w:ascii="Calibri" w:hAnsi="Calibri"/>
          <w:b w:val="0"/>
          <w:sz w:val="22"/>
        </w:rPr>
        <w:t xml:space="preserve"> for regulators and auditors who will ask?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How AI Powers Zero-Trust Compliance in Practice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practical value shows up in three measurable ways for compliance and security teams.</w:t>
      </w:r>
    </w:p>
    <w:p>
      <w:pPr>
        <w:spacing w:after="160"/>
      </w:pPr>
      <w:r>
        <w:rPr>
          <w:rFonts w:ascii="Calibri" w:hAnsi="Calibri"/>
          <w:b w:val="0"/>
          <w:sz w:val="22"/>
        </w:rPr>
        <w:t>Real-time monitoring instead of batch audits: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AI continuously checks:</w:t>
      </w:r>
      <w:r>
        <w:rPr>
          <w:rFonts w:ascii="Calibri" w:hAnsi="Calibri"/>
          <w:b w:val="0"/>
          <w:sz w:val="22"/>
        </w:rPr>
        <w:t xml:space="preserve"> user behavior, access patterns, and data flows across the organisation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High-risk sessions or privilege escalations:</w:t>
      </w:r>
      <w:r>
        <w:rPr>
          <w:rFonts w:ascii="Calibri" w:hAnsi="Calibri"/>
          <w:b w:val="0"/>
          <w:sz w:val="22"/>
        </w:rPr>
        <w:t xml:space="preserve"> are flagged the moment they occur, not surfaced in a quarterly review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Evidence packs for compliance teams:</w:t>
      </w:r>
      <w:r>
        <w:rPr>
          <w:rFonts w:ascii="Calibri" w:hAnsi="Calibri"/>
          <w:b w:val="0"/>
          <w:sz w:val="22"/>
        </w:rPr>
        <w:t xml:space="preserve"> are auto-triggered when regulatory thresholds are breached</w:t>
      </w:r>
    </w:p>
    <w:p>
      <w:pPr>
        <w:spacing w:after="160"/>
      </w:pPr>
      <w:r>
        <w:rPr>
          <w:rFonts w:ascii="Calibri" w:hAnsi="Calibri"/>
          <w:b w:val="0"/>
          <w:sz w:val="22"/>
        </w:rPr>
        <w:t>Adaptive, context-aware access controls: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Static rules don’t reflect the real world:</w:t>
      </w:r>
      <w:r>
        <w:rPr>
          <w:rFonts w:ascii="Calibri" w:hAnsi="Calibri"/>
          <w:b w:val="0"/>
          <w:sz w:val="22"/>
        </w:rPr>
        <w:t xml:space="preserve"> — AI adjusts access based on live risk scores, device health, and peer-group behaviour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Controls tighten automatically:</w:t>
      </w:r>
      <w:r>
        <w:rPr>
          <w:rFonts w:ascii="Calibri" w:hAnsi="Calibri"/>
          <w:b w:val="0"/>
          <w:sz w:val="22"/>
        </w:rPr>
        <w:t xml:space="preserve"> for high-risk accounts pending analyst review, without disrupting legitimate users</w:t>
      </w:r>
    </w:p>
    <w:p>
      <w:pPr>
        <w:spacing w:after="160"/>
      </w:pPr>
      <w:r>
        <w:rPr>
          <w:rFonts w:ascii="Calibri" w:hAnsi="Calibri"/>
          <w:b w:val="0"/>
          <w:sz w:val="22"/>
        </w:rPr>
        <w:t>Human-risk scoring and insider-threat visibility: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Behavioural data:</w:t>
      </w:r>
      <w:r>
        <w:rPr>
          <w:rFonts w:ascii="Calibri" w:hAnsi="Calibri"/>
          <w:b w:val="0"/>
          <w:sz w:val="22"/>
        </w:rPr>
        <w:t xml:space="preserve"> aggregated across HR, IT, and security systems surfaces anomalous patterns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Unusual data exports or access outside normal hours:</w:t>
      </w:r>
      <w:r>
        <w:rPr>
          <w:rFonts w:ascii="Calibri" w:hAnsi="Calibri"/>
          <w:b w:val="0"/>
          <w:sz w:val="22"/>
        </w:rPr>
        <w:t xml:space="preserve"> appear as prioritised cases, not noise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In regulated industries:</w:t>
      </w:r>
      <w:r>
        <w:rPr>
          <w:rFonts w:ascii="Calibri" w:hAnsi="Calibri"/>
          <w:b w:val="0"/>
          <w:sz w:val="22"/>
        </w:rPr>
        <w:t>, one flagged insider can trigger regulatory scrutiny — early detection changes the outcome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Making AI-Driven RegTech Sustainable at Board Level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real test for the C-suite is sustainability: can your AI-driven RegTech and zero-trust compliance stack grow with the business, adapt to new regulations, and remain auditable?</w:t>
      </w:r>
    </w:p>
    <w:p>
      <w:pPr>
        <w:spacing w:after="160"/>
      </w:pPr>
      <w:r>
        <w:rPr>
          <w:rFonts w:ascii="Calibri" w:hAnsi="Calibri"/>
          <w:b w:val="0"/>
          <w:sz w:val="22"/>
        </w:rPr>
        <w:t>Three practices determine the answer: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Embed AI-compliance by design:</w:t>
      </w:r>
      <w:r>
        <w:rPr>
          <w:rFonts w:ascii="Calibri" w:hAnsi="Calibri"/>
          <w:b w:val="0"/>
          <w:sz w:val="22"/>
        </w:rPr>
        <w:t>: Start with zero-trust principles in architecture — not retrofitted after the fact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Choose extensible platforms:</w:t>
      </w:r>
      <w:r>
        <w:rPr>
          <w:rFonts w:ascii="Calibri" w:hAnsi="Calibri"/>
          <w:b w:val="0"/>
          <w:sz w:val="22"/>
        </w:rPr>
        <w:t>: AI-enhanced zero-trust controls must integrate with existing GRC, IAM, and SIEM tools</w:t>
      </w:r>
    </w:p>
    <w:p>
      <w:pPr>
        <w:pStyle w:val="ListBullet"/>
        <w:spacing w:after="100"/>
      </w:pPr>
      <w:r>
        <w:rPr>
          <w:rFonts w:ascii="Calibri" w:hAnsi="Calibri"/>
          <w:b/>
          <w:sz w:val="22"/>
        </w:rPr>
        <w:t>Prioritise explainability:</w:t>
      </w:r>
      <w:r>
        <w:rPr>
          <w:rFonts w:ascii="Calibri" w:hAnsi="Calibri"/>
          <w:b w:val="0"/>
          <w:sz w:val="22"/>
        </w:rPr>
        <w:t>: AI models must produce reasoning regulators can understand — risk scores and access decisions need to be defensible under scrutiny</w:t>
      </w:r>
    </w:p>
    <w:p>
      <w:pPr>
        <w:spacing w:after="160"/>
      </w:pPr>
      <w:r>
        <w:rPr>
          <w:rFonts w:ascii="Calibri" w:hAnsi="Calibri"/>
          <w:b w:val="0"/>
          <w:sz w:val="22"/>
        </w:rPr>
        <w:t>Over time, this approach turns AI in RegTech into a competitive advantage — cutting compliance costs, improving security posture, and building the kind of evidence that stands up to regulatory scrutiny without last-minute scrambles.</w:t>
      </w:r>
    </w:p>
    <w:p>
      <w:pPr>
        <w:spacing w:before="280" w:after="120"/>
      </w:pPr>
      <w:r>
        <w:rPr>
          <w:rFonts w:ascii="Calibri" w:hAnsi="Calibri"/>
          <w:b/>
          <w:color w:val="01013C"/>
          <w:sz w:val="28"/>
        </w:rPr>
        <w:t>The Architecture Advantage for Regulated Industries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firms winning on zero-trust compliance in regulated industries are not the ones with the biggest security budgets. They’re the ones that made AI and zero-trust a compliance design decision before they needed it.</w:t>
      </w:r>
    </w:p>
    <w:p>
      <w:pPr>
        <w:spacing w:after="160"/>
      </w:pPr>
      <w:r>
        <w:rPr>
          <w:rFonts w:ascii="Calibri" w:hAnsi="Calibri"/>
          <w:b w:val="0"/>
          <w:sz w:val="22"/>
        </w:rPr>
        <w:t>This approach turns compliance from a cost centre into a competitive advantage — and builds the kind of RegTech posture that stands up to regulatory scrutiny without last-minute remediation.</w:t>
      </w:r>
    </w:p>
    <w:p>
      <w:pPr>
        <w:jc w:val="center"/>
        <w:pBdr>
          <w:bottom w:val="single" w:sz="6" w:space="1" w:color="D7D7D7"/>
        </w:pBdr>
      </w:pPr>
    </w:p>
    <w:p/>
    <w:p>
      <w:r>
        <w:rPr>
          <w:rFonts w:ascii="Calibri" w:hAnsi="Calibri"/>
          <w:b w:val="0"/>
          <w:color w:val="282828"/>
          <w:sz w:val="22"/>
        </w:rPr>
        <w:t>🔗 Want the full breakdown?</w:t>
        <w:br/>
        <w:t>Read the complete guide on Codiste’s blog: [Insert blog URL here]</w:t>
        <w:br/>
        <w:br/>
        <w:t>🤝 Modernising your RegTech stack or moving toward zero-trust compliance?</w:t>
        <w:br/>
        <w:t>Connect with Codiste — we help enterprises in regulated industries design, build, and scale AI-driven, zero-trust-compliant architectures that stand up to regulatory scrutiny. Reach out at codiste.com or drop a comment below.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💬 LINKEDIN CAPTION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r>
        <w:rPr>
          <w:rFonts w:ascii="Calibri" w:hAnsi="Calibri"/>
          <w:b/>
          <w:sz w:val="24"/>
        </w:rPr>
        <w:t>𝗬𝗼𝘂𝗿 𝘀𝗲𝗰𝘂𝗿𝗶𝘁𝘆 𝘁𝗲𝗮𝗺 𝗶𝘀 𝘀𝗼𝗹𝘃𝗶𝗻𝗴 𝗮 𝗯𝗿𝗲𝗮𝗰𝗵 𝗽𝗿𝗼𝗯𝗹𝗲𝗺. 𝗬𝗼𝘂𝗿 𝗰𝗼𝗺𝗽𝗹𝗶𝗮𝗻𝗰𝗲 𝘁𝗲𝗮𝗺 𝗶𝘀 𝘀𝗼𝗹𝘃𝗶𝗻𝗴 𝗮 𝗿𝗲𝗽𝗼𝗿𝘁𝗶𝗻𝗴 𝗽𝗿𝗼𝗯𝗹𝗲𝗺. 𝗡𝗲𝗶𝘁𝗵𝗲𝗿 𝗶𝘀 𝘀𝗼𝗹𝘃𝗶𝗻𝗴 𝘁𝗵𝗲 𝗮𝗿𝗰𝗵𝗶𝘁𝗲𝗰𝘁𝘂𝗿𝗲 𝗽𝗿𝗼𝗯𝗹𝗲𝗺 𝘁𝗵𝗲𝘆 𝘀𝗵𝗮𝗿𝗲.</w:t>
      </w:r>
    </w:p>
    <w:p>
      <w:r>
        <w:rPr>
          <w:rFonts w:ascii="Calibri" w:hAnsi="Calibri"/>
          <w:b w:val="0"/>
          <w:sz w:val="22"/>
        </w:rPr>
        <w:t>The C-suite blueprint for merging zero-trust and RegTech into one AI-driven compliance layer → [article link]</w:t>
      </w:r>
    </w:p>
    <w:p/>
    <w:p>
      <w:r>
        <w:rPr>
          <w:rFonts w:ascii="Calibri" w:hAnsi="Calibri"/>
          <w:b w:val="0"/>
          <w:color w:val="0064C8"/>
          <w:sz w:val="22"/>
        </w:rPr>
        <w:t>#ZeroTrustSecurity #AIRegTech #FinancialCompliance #CISOInsights #RegulatoryTechnology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>
      <w:pPr>
        <w:jc w:val="center"/>
      </w:pPr>
      <w:r>
        <w:rPr>
          <w:rFonts w:ascii="Calibri" w:hAnsi="Calibri"/>
          <w:b/>
          <w:color w:val="3C3C3C"/>
          <w:sz w:val="22"/>
        </w:rPr>
        <w:t>📋 PUBLISHING NOTES</w:t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==================================================</w:t>
      </w:r>
    </w:p>
    <w:p/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Word count: ~760 words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Estimated read time: 3–4 min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Remember to: add the blog URL in the CTA block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Banner files: codiste-banner-zero-trust-compliance-ai-regtech.png / .jpg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Generated: 29 April 2026</w:t>
      </w:r>
    </w:p>
    <w:p>
      <w:pPr>
        <w:spacing w:after="80"/>
      </w:pPr>
      <w:r>
        <w:rPr>
          <w:rFonts w:ascii="Calibri" w:hAnsi="Calibri"/>
          <w:b w:val="0"/>
          <w:color w:val="505050"/>
          <w:sz w:val="20"/>
        </w:rPr>
        <w:t>• Target audience: CISOs, CTOs, compliance officers, C-suite in regulated industries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