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val="0"/>
          <w:color w:val="646464"/>
          <w:sz w:val="20"/>
        </w:rPr>
        <w:t>==================================================</w:t>
      </w:r>
    </w:p>
    <w:p>
      <w:pPr>
        <w:jc w:val="center"/>
      </w:pPr>
      <w:r>
        <w:rPr>
          <w:rFonts w:ascii="Calibri" w:hAnsi="Calibri"/>
          <w:b/>
          <w:color w:val="3C3C3C"/>
          <w:sz w:val="22"/>
        </w:rPr>
        <w:t>LINKEDIN ARTICLE — CODISTE</w:t>
      </w:r>
    </w:p>
    <w:p>
      <w:pPr>
        <w:jc w:val="center"/>
      </w:pPr>
      <w:r>
        <w:rPr>
          <w:rFonts w:ascii="Calibri" w:hAnsi="Calibri"/>
          <w:b w:val="0"/>
          <w:color w:val="646464"/>
          <w:sz w:val="20"/>
        </w:rPr>
        <w:t>==================================================</w:t>
      </w:r>
    </w:p>
    <w:p/>
    <w:p>
      <w:r>
        <w:rPr>
          <w:rFonts w:ascii="Calibri" w:hAnsi="Calibri"/>
          <w:b/>
          <w:color w:val="787878"/>
          <w:sz w:val="20"/>
        </w:rPr>
        <w:t>TITLE:</w:t>
      </w:r>
    </w:p>
    <w:p>
      <w:r>
        <w:rPr>
          <w:rFonts w:ascii="Calibri" w:hAnsi="Calibri"/>
          <w:b/>
          <w:color w:val="010101"/>
          <w:sz w:val="40"/>
        </w:rPr>
        <w:t>AI Compliance Is Scaling Fast: Your Ethics Framework Isn't</w:t>
      </w:r>
    </w:p>
    <w:p/>
    <w:p>
      <w:r>
        <w:rPr>
          <w:rFonts w:ascii="Calibri" w:hAnsi="Calibri"/>
          <w:b/>
          <w:color w:val="787878"/>
          <w:sz w:val="20"/>
        </w:rPr>
        <w:t>KEYWORDS TO USE AS HASHTAGS:</w:t>
      </w:r>
    </w:p>
    <w:p>
      <w:r>
        <w:rPr>
          <w:rFonts w:ascii="Calibri" w:hAnsi="Calibri"/>
          <w:b w:val="0"/>
          <w:color w:val="0064C8"/>
          <w:sz w:val="22"/>
        </w:rPr>
        <w:t>#AICompliance #EthicalAI #AIGovernance #RegulatoryCompliance #AIPrivacy</w:t>
      </w:r>
    </w:p>
    <w:p/>
    <w:p>
      <w:pPr>
        <w:jc w:val="center"/>
      </w:pPr>
      <w:r>
        <w:rPr>
          <w:rFonts w:ascii="Calibri" w:hAnsi="Calibri"/>
          <w:b w:val="0"/>
          <w:color w:val="646464"/>
          <w:sz w:val="20"/>
        </w:rPr>
        <w:t>==================================================</w:t>
      </w:r>
    </w:p>
    <w:p>
      <w:pPr>
        <w:jc w:val="center"/>
      </w:pPr>
      <w:r>
        <w:rPr>
          <w:rFonts w:ascii="Calibri" w:hAnsi="Calibri"/>
          <w:b/>
          <w:color w:val="3C3C3C"/>
          <w:sz w:val="22"/>
        </w:rPr>
        <w:t>ARTICLE BODY</w:t>
      </w:r>
    </w:p>
    <w:p>
      <w:pPr>
        <w:jc w:val="center"/>
      </w:pPr>
      <w:r>
        <w:rPr>
          <w:rFonts w:ascii="Calibri" w:hAnsi="Calibri"/>
          <w:b w:val="0"/>
          <w:color w:val="646464"/>
          <w:sz w:val="20"/>
        </w:rPr>
        <w:t>==================================================</w:t>
      </w:r>
    </w:p>
    <w:p/>
    <w:p>
      <w:pPr>
        <w:spacing w:after="240"/>
      </w:pPr>
      <w:r>
        <w:rPr>
          <w:rFonts w:ascii="Calibri" w:hAnsi="Calibri"/>
          <w:b/>
          <w:sz w:val="24"/>
        </w:rPr>
        <w:t>AI is quietly reviewing contracts, screening hires, and flagging suspicious transactions at thousands of companies right now. The efficiency gains are real. But most of those deployments are running without the ethical architecture to make their decisions defensible — to regulators, to the people they affect, and to any auditor who asks why.</w:t>
      </w:r>
    </w:p>
    <w:p>
      <w:pPr>
        <w:spacing w:after="160"/>
      </w:pPr>
      <w:r>
        <w:rPr>
          <w:rFonts w:ascii="Calibri" w:hAnsi="Calibri"/>
          <w:b w:val="0"/>
          <w:sz w:val="22"/>
        </w:rPr>
        <w:t>Only 35% of companies currently have an AI governance framework in place, and fewer than 20% conduct regular AI audits. That gap is where the real risk lives. Unlike rule-based systems, AI in compliance learns from data — which means it can reproduce bias, obscure its reasoning, and handle sensitive personal information in ways that create serious legal exposure before anyone notices.</w:t>
      </w:r>
    </w:p>
    <w:p>
      <w:pPr>
        <w:spacing w:after="160"/>
      </w:pPr>
      <w:r>
        <w:rPr>
          <w:rFonts w:ascii="Calibri" w:hAnsi="Calibri"/>
          <w:b w:val="0"/>
          <w:sz w:val="22"/>
        </w:rPr>
        <w:t>The risks compound across three dimensions:</w:t>
      </w:r>
    </w:p>
    <w:p>
      <w:pPr>
        <w:pStyle w:val="ListBullet"/>
        <w:spacing w:after="100"/>
      </w:pPr>
      <w:r>
        <w:rPr>
          <w:rFonts w:ascii="Calibri" w:hAnsi="Calibri"/>
          <w:b/>
          <w:sz w:val="22"/>
        </w:rPr>
        <w:t>Reputational:</w:t>
      </w:r>
      <w:r>
        <w:rPr>
          <w:rFonts w:ascii="Calibri" w:hAnsi="Calibri"/>
          <w:b w:val="0"/>
          <w:sz w:val="22"/>
        </w:rPr>
        <w:t xml:space="preserve"> An AI-powered hiring tool that discriminates can trigger public backlash and regulatory scrutiny within hours of exposure.</w:t>
      </w:r>
    </w:p>
    <w:p>
      <w:pPr>
        <w:pStyle w:val="ListBullet"/>
        <w:spacing w:after="100"/>
      </w:pPr>
      <w:r>
        <w:rPr>
          <w:rFonts w:ascii="Calibri" w:hAnsi="Calibri"/>
          <w:b/>
          <w:sz w:val="22"/>
        </w:rPr>
        <w:t>Financial and regulatory:</w:t>
      </w:r>
      <w:r>
        <w:rPr>
          <w:rFonts w:ascii="Calibri" w:hAnsi="Calibri"/>
          <w:b w:val="0"/>
          <w:sz w:val="22"/>
        </w:rPr>
        <w:t xml:space="preserve"> GDPR, CCPA, and emerging AI-specific laws are rapidly tightening what ‘compliance’ actually requires from automated decision systems.</w:t>
      </w:r>
    </w:p>
    <w:p>
      <w:pPr>
        <w:pStyle w:val="ListBullet"/>
        <w:spacing w:after="100"/>
      </w:pPr>
      <w:r>
        <w:rPr>
          <w:rFonts w:ascii="Calibri" w:hAnsi="Calibri"/>
          <w:b/>
          <w:sz w:val="22"/>
        </w:rPr>
        <w:t>Operational:</w:t>
      </w:r>
      <w:r>
        <w:rPr>
          <w:rFonts w:ascii="Calibri" w:hAnsi="Calibri"/>
          <w:b w:val="0"/>
          <w:sz w:val="22"/>
        </w:rPr>
        <w:t xml:space="preserve"> If compliance teams don’t trust the AI model, they ignore alerts or override outputs — breaking the very workflow the AI was built to strengthen.</w:t>
      </w:r>
    </w:p>
    <w:p>
      <w:pPr>
        <w:spacing w:before="280" w:after="120"/>
      </w:pPr>
      <w:r>
        <w:rPr>
          <w:rFonts w:ascii="Calibri" w:hAnsi="Calibri"/>
          <w:b/>
          <w:color w:val="01013C"/>
          <w:sz w:val="28"/>
        </w:rPr>
        <w:t>Three Ethical Risks Compliance Teams Underestimate</w:t>
      </w:r>
    </w:p>
    <w:p>
      <w:pPr>
        <w:spacing w:after="160"/>
      </w:pPr>
      <w:r>
        <w:rPr>
          <w:rFonts w:ascii="Calibri" w:hAnsi="Calibri"/>
          <w:b w:val="0"/>
          <w:sz w:val="22"/>
        </w:rPr>
        <w:t>Bias and fairness failures don’t announce themselves. Many AI compliance tools are trained on historical data carrying systemic biases around gender, race, geography, or income. An anti-money-laundering engine that disproportionately flags customers from certain regions doesn’t just fail ethically — it may violate anti-discrimination rules.</w:t>
      </w:r>
    </w:p>
    <w:p>
      <w:pPr>
        <w:spacing w:after="160"/>
      </w:pPr>
      <w:r>
        <w:rPr>
          <w:rFonts w:ascii="Calibri" w:hAnsi="Calibri"/>
          <w:b w:val="0"/>
          <w:sz w:val="22"/>
        </w:rPr>
        <w:t>Common patterns to watch for:</w:t>
      </w:r>
    </w:p>
    <w:p>
      <w:pPr>
        <w:pStyle w:val="ListBullet"/>
        <w:spacing w:after="100"/>
      </w:pPr>
      <w:r>
        <w:rPr>
          <w:rFonts w:ascii="Calibri" w:hAnsi="Calibri"/>
          <w:b/>
          <w:sz w:val="22"/>
        </w:rPr>
        <w:t>Uneven risk-scoring:</w:t>
      </w:r>
      <w:r>
        <w:rPr>
          <w:rFonts w:ascii="Calibri" w:hAnsi="Calibri"/>
          <w:b w:val="0"/>
          <w:sz w:val="22"/>
        </w:rPr>
        <w:t xml:space="preserve"> across customer or employee demographic groups</w:t>
      </w:r>
    </w:p>
    <w:p>
      <w:pPr>
        <w:pStyle w:val="ListBullet"/>
        <w:spacing w:after="100"/>
      </w:pPr>
      <w:r>
        <w:rPr>
          <w:rFonts w:ascii="Calibri" w:hAnsi="Calibri"/>
          <w:b/>
          <w:sz w:val="22"/>
        </w:rPr>
        <w:t>Hidden proxy variables:</w:t>
      </w:r>
      <w:r>
        <w:rPr>
          <w:rFonts w:ascii="Calibri" w:hAnsi="Calibri"/>
          <w:b w:val="0"/>
          <w:sz w:val="22"/>
        </w:rPr>
        <w:t xml:space="preserve"> — zip code acting as a proxy for race, for example</w:t>
      </w:r>
    </w:p>
    <w:p>
      <w:pPr>
        <w:pStyle w:val="ListBullet"/>
        <w:spacing w:after="100"/>
      </w:pPr>
      <w:r>
        <w:rPr>
          <w:rFonts w:ascii="Calibri" w:hAnsi="Calibri"/>
          <w:b/>
          <w:sz w:val="22"/>
        </w:rPr>
        <w:t>No measurable fairness metrics:</w:t>
      </w:r>
      <w:r>
        <w:rPr>
          <w:rFonts w:ascii="Calibri" w:hAnsi="Calibri"/>
          <w:b w:val="0"/>
          <w:sz w:val="22"/>
        </w:rPr>
        <w:t xml:space="preserve"> tracked or audited over time</w:t>
      </w:r>
    </w:p>
    <w:p>
      <w:pPr>
        <w:spacing w:after="160"/>
      </w:pPr>
      <w:r>
        <w:rPr>
          <w:rFonts w:ascii="Calibri" w:hAnsi="Calibri"/>
          <w:b w:val="0"/>
          <w:sz w:val="22"/>
        </w:rPr>
        <w:t>Transparency is the second gap. If a compliance AI flags a transaction or employee behavior, regulators and affected individuals expect to understand why. A black-box model with no human-readable justification cannot satisfy an auditor and cannot be defended when challenged.</w:t>
      </w:r>
    </w:p>
    <w:p>
      <w:pPr>
        <w:spacing w:after="160"/>
      </w:pPr>
      <w:r>
        <w:rPr>
          <w:rFonts w:ascii="Calibri" w:hAnsi="Calibri"/>
          <w:b w:val="0"/>
          <w:sz w:val="22"/>
        </w:rPr>
        <w:t>Privacy is the third. AI compliance systems rely heavily on personal data. Without privacy-by-design — data minimization, anonymization, and clear legal bases for processing — every workflow carries an ethics liability embedded in its architecture.</w:t>
      </w:r>
    </w:p>
    <w:p>
      <w:pPr>
        <w:spacing w:before="280" w:after="120"/>
      </w:pPr>
      <w:r>
        <w:rPr>
          <w:rFonts w:ascii="Calibri" w:hAnsi="Calibri"/>
          <w:b/>
          <w:color w:val="01013C"/>
          <w:sz w:val="28"/>
        </w:rPr>
        <w:t>What a Real Ethical AI Policy Looks Like</w:t>
      </w:r>
    </w:p>
    <w:p>
      <w:pPr>
        <w:spacing w:after="160"/>
      </w:pPr>
      <w:r>
        <w:rPr>
          <w:rFonts w:ascii="Calibri" w:hAnsi="Calibri"/>
          <w:b w:val="0"/>
          <w:sz w:val="22"/>
        </w:rPr>
        <w:t>86% of users prefer brands with transparent AI policies. That’s not just a compliance obligation — it’s a direct driver of customer trust. Yet most organizations treat “ethical AI” as a public positioning statement rather than an operational specification with teeth.</w:t>
      </w:r>
    </w:p>
    <w:p>
      <w:pPr>
        <w:spacing w:after="160"/>
      </w:pPr>
      <w:r>
        <w:rPr>
          <w:rFonts w:ascii="Calibri" w:hAnsi="Calibri"/>
          <w:b w:val="0"/>
          <w:sz w:val="22"/>
        </w:rPr>
        <w:t>A policy that actually functions includes five pillars:</w:t>
      </w:r>
    </w:p>
    <w:p>
      <w:pPr>
        <w:pStyle w:val="ListBullet"/>
        <w:spacing w:after="100"/>
      </w:pPr>
      <w:r>
        <w:rPr>
          <w:rFonts w:ascii="Calibri" w:hAnsi="Calibri"/>
          <w:b/>
          <w:sz w:val="22"/>
        </w:rPr>
        <w:t>Fairness and non-discrimination clauses:</w:t>
      </w:r>
      <w:r>
        <w:rPr>
          <w:rFonts w:ascii="Calibri" w:hAnsi="Calibri"/>
          <w:b w:val="0"/>
          <w:sz w:val="22"/>
        </w:rPr>
        <w:t xml:space="preserve"> — how models are tested, how fairness is measured, and who is accountable for disparate outcomes</w:t>
      </w:r>
    </w:p>
    <w:p>
      <w:pPr>
        <w:pStyle w:val="ListBullet"/>
        <w:spacing w:after="100"/>
      </w:pPr>
      <w:r>
        <w:rPr>
          <w:rFonts w:ascii="Calibri" w:hAnsi="Calibri"/>
          <w:b/>
          <w:sz w:val="22"/>
        </w:rPr>
        <w:t>Transparency obligations:</w:t>
      </w:r>
      <w:r>
        <w:rPr>
          <w:rFonts w:ascii="Calibri" w:hAnsi="Calibri"/>
          <w:b w:val="0"/>
          <w:sz w:val="22"/>
        </w:rPr>
        <w:t xml:space="preserve"> — what level of explanation is required for each decision type, and to whom (regulators, customers, HR, auditors)</w:t>
      </w:r>
    </w:p>
    <w:p>
      <w:pPr>
        <w:pStyle w:val="ListBullet"/>
        <w:spacing w:after="100"/>
      </w:pPr>
      <w:r>
        <w:rPr>
          <w:rFonts w:ascii="Calibri" w:hAnsi="Calibri"/>
          <w:b/>
          <w:sz w:val="22"/>
        </w:rPr>
        <w:t>Data protection commitments:</w:t>
      </w:r>
      <w:r>
        <w:rPr>
          <w:rFonts w:ascii="Calibri" w:hAnsi="Calibri"/>
          <w:b w:val="0"/>
          <w:sz w:val="22"/>
        </w:rPr>
        <w:t xml:space="preserve"> — aligned with GDPR and CCPA, including data-retention limits and opt-out rights</w:t>
      </w:r>
    </w:p>
    <w:p>
      <w:pPr>
        <w:pStyle w:val="ListBullet"/>
        <w:spacing w:after="100"/>
      </w:pPr>
      <w:r>
        <w:rPr>
          <w:rFonts w:ascii="Calibri" w:hAnsi="Calibri"/>
          <w:b/>
          <w:sz w:val="22"/>
        </w:rPr>
        <w:t>Human oversight and escalation paths:</w:t>
      </w:r>
      <w:r>
        <w:rPr>
          <w:rFonts w:ascii="Calibri" w:hAnsi="Calibri"/>
          <w:b w:val="0"/>
          <w:sz w:val="22"/>
        </w:rPr>
        <w:t xml:space="preserve"> — when AI outputs must be reviewed, challenged, or overridden, and how decisions are logged</w:t>
      </w:r>
    </w:p>
    <w:p>
      <w:pPr>
        <w:pStyle w:val="ListBullet"/>
        <w:spacing w:after="100"/>
      </w:pPr>
      <w:r>
        <w:rPr>
          <w:rFonts w:ascii="Calibri" w:hAnsi="Calibri"/>
          <w:b/>
          <w:sz w:val="22"/>
        </w:rPr>
        <w:t>Model lifecycle governance:</w:t>
      </w:r>
      <w:r>
        <w:rPr>
          <w:rFonts w:ascii="Calibri" w:hAnsi="Calibri"/>
          <w:b w:val="0"/>
          <w:sz w:val="22"/>
        </w:rPr>
        <w:t xml:space="preserve"> — from training through retirement, with assigned roles, review cycles, and rollback mechanisms</w:t>
      </w:r>
    </w:p>
    <w:p>
      <w:pPr>
        <w:spacing w:before="280" w:after="120"/>
      </w:pPr>
      <w:r>
        <w:rPr>
          <w:rFonts w:ascii="Calibri" w:hAnsi="Calibri"/>
          <w:b/>
          <w:color w:val="01013C"/>
          <w:sz w:val="28"/>
        </w:rPr>
        <w:t>AI Governance: Turning Ethics Into Daily Operations</w:t>
      </w:r>
    </w:p>
    <w:p>
      <w:pPr>
        <w:spacing w:after="160"/>
      </w:pPr>
      <w:r>
        <w:rPr>
          <w:rFonts w:ascii="Calibri" w:hAnsi="Calibri"/>
          <w:b w:val="0"/>
          <w:sz w:val="22"/>
        </w:rPr>
        <w:t>AI governance is the bridge between high-level ethics principles and day-to-day operations. It answers the questions auditors actually ask: Who owns the model? Who approved it? How was it monitored? What happened when it drifted?</w:t>
      </w:r>
    </w:p>
    <w:p>
      <w:pPr>
        <w:spacing w:after="160"/>
      </w:pPr>
      <w:r>
        <w:rPr>
          <w:rFonts w:ascii="Calibri" w:hAnsi="Calibri"/>
          <w:b w:val="0"/>
          <w:sz w:val="22"/>
        </w:rPr>
        <w:t>Getting governance off whiteboards and into workflows requires:</w:t>
      </w:r>
    </w:p>
    <w:p>
      <w:pPr>
        <w:pStyle w:val="ListBullet"/>
        <w:spacing w:after="100"/>
      </w:pPr>
      <w:r>
        <w:rPr>
          <w:rFonts w:ascii="Calibri" w:hAnsi="Calibri"/>
          <w:b/>
          <w:sz w:val="22"/>
        </w:rPr>
        <w:t>A cross-functional AI governance committee:</w:t>
      </w:r>
      <w:r>
        <w:rPr>
          <w:rFonts w:ascii="Calibri" w:hAnsi="Calibri"/>
          <w:b w:val="0"/>
          <w:sz w:val="22"/>
        </w:rPr>
        <w:t xml:space="preserve"> — compliance, legal, risk, data science, and IT all need representation</w:t>
      </w:r>
    </w:p>
    <w:p>
      <w:pPr>
        <w:pStyle w:val="ListBullet"/>
        <w:spacing w:after="100"/>
      </w:pPr>
      <w:r>
        <w:rPr>
          <w:rFonts w:ascii="Calibri" w:hAnsi="Calibri"/>
          <w:b/>
          <w:sz w:val="22"/>
        </w:rPr>
        <w:t>Risk-tier classification for AI use cases:</w:t>
      </w:r>
      <w:r>
        <w:rPr>
          <w:rFonts w:ascii="Calibri" w:hAnsi="Calibri"/>
          <w:b w:val="0"/>
          <w:sz w:val="22"/>
        </w:rPr>
        <w:t xml:space="preserve"> — hiring, credit scoring, and fraud detection warrant stricter review cycles than lower-risk document summarization</w:t>
      </w:r>
    </w:p>
    <w:p>
      <w:pPr>
        <w:pStyle w:val="ListBullet"/>
        <w:spacing w:after="100"/>
      </w:pPr>
      <w:r>
        <w:rPr>
          <w:rFonts w:ascii="Calibri" w:hAnsi="Calibri"/>
          <w:b/>
          <w:sz w:val="22"/>
        </w:rPr>
        <w:t>Mapped workflows with escalation rules:</w:t>
      </w:r>
      <w:r>
        <w:rPr>
          <w:rFonts w:ascii="Calibri" w:hAnsi="Calibri"/>
          <w:b w:val="0"/>
          <w:sz w:val="22"/>
        </w:rPr>
        <w:t xml:space="preserve"> and full audit trails at every decision handoff</w:t>
      </w:r>
    </w:p>
    <w:p>
      <w:pPr>
        <w:pStyle w:val="ListBullet"/>
        <w:spacing w:after="100"/>
      </w:pPr>
      <w:r>
        <w:rPr>
          <w:rFonts w:ascii="Calibri" w:hAnsi="Calibri"/>
          <w:b/>
          <w:sz w:val="22"/>
        </w:rPr>
        <w:t>Production monitoring dashboards:</w:t>
      </w:r>
      <w:r>
        <w:rPr>
          <w:rFonts w:ascii="Calibri" w:hAnsi="Calibri"/>
          <w:b w:val="0"/>
          <w:sz w:val="22"/>
        </w:rPr>
        <w:t xml:space="preserve"> tracking model drift, fairness metrics, and incident rates over time</w:t>
      </w:r>
    </w:p>
    <w:p>
      <w:pPr>
        <w:pStyle w:val="ListBullet"/>
        <w:spacing w:after="100"/>
      </w:pPr>
      <w:r>
        <w:rPr>
          <w:rFonts w:ascii="Calibri" w:hAnsi="Calibri"/>
          <w:b/>
          <w:sz w:val="22"/>
        </w:rPr>
        <w:t>AI literacy training for non-technical staff:</w:t>
      </w:r>
      <w:r>
        <w:rPr>
          <w:rFonts w:ascii="Calibri" w:hAnsi="Calibri"/>
          <w:b w:val="0"/>
          <w:sz w:val="22"/>
        </w:rPr>
        <w:t xml:space="preserve"> — HR teams, controllers, and compliance officers need enough understanding to challenge AI-driven decisions when something looks wrong</w:t>
      </w:r>
    </w:p>
    <w:p>
      <w:pPr>
        <w:spacing w:before="280" w:after="120"/>
      </w:pPr>
      <w:r>
        <w:rPr>
          <w:rFonts w:ascii="Calibri" w:hAnsi="Calibri"/>
          <w:b/>
          <w:color w:val="01013C"/>
          <w:sz w:val="28"/>
        </w:rPr>
        <w:t>The Gap Between Capability and Accountability</w:t>
      </w:r>
    </w:p>
    <w:p>
      <w:pPr>
        <w:spacing w:after="160"/>
      </w:pPr>
      <w:r>
        <w:rPr>
          <w:rFonts w:ascii="Calibri" w:hAnsi="Calibri"/>
          <w:b w:val="0"/>
          <w:sz w:val="22"/>
        </w:rPr>
        <w:t>AI in compliance offers measurable benefits when it’s backed by genuine ethics and governance infrastructure. The organizations getting it right aren’t just deploying more capable AI — they’re building AI that survives regulatory scrutiny, earns employee trust, and holds up when someone asks hard questions.</w:t>
      </w:r>
    </w:p>
    <w:p>
      <w:pPr>
        <w:spacing w:after="160"/>
      </w:pPr>
      <w:r>
        <w:rPr>
          <w:rFonts w:ascii="Calibri" w:hAnsi="Calibri"/>
          <w:b w:val="0"/>
          <w:sz w:val="22"/>
        </w:rPr>
        <w:t>The question for every enterprise scaling AI in compliance isn’t whether the model performs. It’s whether your governance structure can defend every decision it makes.</w:t>
      </w:r>
    </w:p>
    <w:p>
      <w:pPr>
        <w:jc w:val="center"/>
        <w:pBdr>
          <w:bottom w:val="single" w:sz="6" w:space="1" w:color="D7D7D7"/>
        </w:pBdr>
      </w:pPr>
    </w:p>
    <w:p/>
    <w:p>
      <w:r>
        <w:rPr>
          <w:rFonts w:ascii="Calibri" w:hAnsi="Calibri"/>
          <w:b w:val="0"/>
          <w:color w:val="282828"/>
          <w:sz w:val="22"/>
        </w:rPr>
        <w:t>🔗 Want the full breakdown?</w:t>
        <w:br/>
        <w:t>Read the complete guide on Codiste’s blog: [Insert blog URL here]</w:t>
        <w:br/>
        <w:br/>
        <w:t>🤝 Building or upgrading AI compliance infrastructure?</w:t>
        <w:br/>
        <w:t>Connect with Codiste — we help global enterprises design, build, and scale AI solutions aligned with GDPR, CCPA, and emerging AI-specific regulatory standards. Reach out at codiste.com or drop a comment below.</w:t>
      </w:r>
    </w:p>
    <w:p/>
    <w:p>
      <w:pPr>
        <w:jc w:val="center"/>
      </w:pPr>
      <w:r>
        <w:rPr>
          <w:rFonts w:ascii="Calibri" w:hAnsi="Calibri"/>
          <w:b w:val="0"/>
          <w:color w:val="646464"/>
          <w:sz w:val="20"/>
        </w:rPr>
        <w:t>==================================================</w:t>
      </w:r>
    </w:p>
    <w:p>
      <w:pPr>
        <w:jc w:val="center"/>
      </w:pPr>
      <w:r>
        <w:rPr>
          <w:rFonts w:ascii="Calibri" w:hAnsi="Calibri"/>
          <w:b/>
          <w:color w:val="3C3C3C"/>
          <w:sz w:val="22"/>
        </w:rPr>
        <w:t>LINKEDIN CAPTION</w:t>
      </w:r>
    </w:p>
    <w:p>
      <w:pPr>
        <w:jc w:val="center"/>
      </w:pPr>
      <w:r>
        <w:rPr>
          <w:rFonts w:ascii="Calibri" w:hAnsi="Calibri"/>
          <w:b w:val="0"/>
          <w:color w:val="646464"/>
          <w:sz w:val="20"/>
        </w:rPr>
        <w:t>==================================================</w:t>
      </w:r>
    </w:p>
    <w:p/>
    <w:p>
      <w:r>
        <w:rPr>
          <w:rFonts w:ascii="Calibri" w:hAnsi="Calibri"/>
          <w:b/>
          <w:sz w:val="24"/>
        </w:rPr>
        <w:t>𝗶𝗳𝗹𝘆 35% of companies have an AI governance framework — yet AI already makes compliance decisions regulators will ask you to explain.</w:t>
      </w:r>
    </w:p>
    <w:p>
      <w:r>
        <w:rPr>
          <w:rFonts w:ascii="Calibri" w:hAnsi="Calibri"/>
          <w:b w:val="0"/>
          <w:sz w:val="22"/>
        </w:rPr>
        <w:t>Ethics alone won’t close the gap — here’s the governance architecture that actually does → [article link]</w:t>
      </w:r>
    </w:p>
    <w:p/>
    <w:p>
      <w:r>
        <w:rPr>
          <w:rFonts w:ascii="Calibri" w:hAnsi="Calibri"/>
          <w:b w:val="0"/>
          <w:color w:val="0064C8"/>
          <w:sz w:val="22"/>
        </w:rPr>
        <w:t>#AICompliance #EthicalAI #AIGovernance #GDPR #RegulatoryTech</w:t>
      </w:r>
    </w:p>
    <w:p/>
    <w:p>
      <w:pPr>
        <w:jc w:val="center"/>
      </w:pPr>
      <w:r>
        <w:rPr>
          <w:rFonts w:ascii="Calibri" w:hAnsi="Calibri"/>
          <w:b w:val="0"/>
          <w:color w:val="646464"/>
          <w:sz w:val="20"/>
        </w:rPr>
        <w:t>==================================================</w:t>
      </w:r>
    </w:p>
    <w:p>
      <w:pPr>
        <w:jc w:val="center"/>
      </w:pPr>
      <w:r>
        <w:rPr>
          <w:rFonts w:ascii="Calibri" w:hAnsi="Calibri"/>
          <w:b/>
          <w:color w:val="3C3C3C"/>
          <w:sz w:val="22"/>
        </w:rPr>
        <w:t>PUBLISHING NOTES</w:t>
      </w:r>
    </w:p>
    <w:p>
      <w:pPr>
        <w:jc w:val="center"/>
      </w:pPr>
      <w:r>
        <w:rPr>
          <w:rFonts w:ascii="Calibri" w:hAnsi="Calibri"/>
          <w:b w:val="0"/>
          <w:color w:val="646464"/>
          <w:sz w:val="20"/>
        </w:rPr>
        <w:t>==================================================</w:t>
      </w:r>
    </w:p>
    <w:p/>
    <w:p>
      <w:pPr>
        <w:spacing w:after="80"/>
      </w:pPr>
      <w:r>
        <w:rPr>
          <w:rFonts w:ascii="Calibri" w:hAnsi="Calibri"/>
          <w:b w:val="0"/>
          <w:color w:val="505050"/>
          <w:sz w:val="20"/>
        </w:rPr>
        <w:t>• Word count: ~760 words</w:t>
      </w:r>
    </w:p>
    <w:p>
      <w:pPr>
        <w:spacing w:after="80"/>
      </w:pPr>
      <w:r>
        <w:rPr>
          <w:rFonts w:ascii="Calibri" w:hAnsi="Calibri"/>
          <w:b w:val="0"/>
          <w:color w:val="505050"/>
          <w:sz w:val="20"/>
        </w:rPr>
        <w:t>• Estimated read time: 3-4 min</w:t>
      </w:r>
    </w:p>
    <w:p>
      <w:pPr>
        <w:spacing w:after="80"/>
      </w:pPr>
      <w:r>
        <w:rPr>
          <w:rFonts w:ascii="Calibri" w:hAnsi="Calibri"/>
          <w:b w:val="0"/>
          <w:color w:val="505050"/>
          <w:sz w:val="20"/>
        </w:rPr>
        <w:t>• Remember to: add the blog URL in the CTA block</w:t>
      </w:r>
    </w:p>
    <w:p>
      <w:pPr>
        <w:spacing w:after="80"/>
      </w:pPr>
      <w:r>
        <w:rPr>
          <w:rFonts w:ascii="Calibri" w:hAnsi="Calibri"/>
          <w:b w:val="0"/>
          <w:color w:val="505050"/>
          <w:sz w:val="20"/>
        </w:rPr>
        <w:t>• Banner files: codiste-banner-ai-compliance-ethics-governance.png / .jpg</w:t>
      </w:r>
    </w:p>
    <w:p>
      <w:pPr>
        <w:spacing w:after="80"/>
      </w:pPr>
      <w:r>
        <w:rPr>
          <w:rFonts w:ascii="Calibri" w:hAnsi="Calibri"/>
          <w:b w:val="0"/>
          <w:color w:val="505050"/>
          <w:sz w:val="20"/>
        </w:rPr>
        <w:t>• Generated: 29 April 2026</w:t>
      </w:r>
    </w:p>
    <w:p>
      <w:pPr>
        <w:spacing w:after="80"/>
      </w:pPr>
      <w:r>
        <w:rPr>
          <w:rFonts w:ascii="Calibri" w:hAnsi="Calibri"/>
          <w:b w:val="0"/>
          <w:color w:val="505050"/>
          <w:sz w:val="20"/>
        </w:rPr>
        <w:t>• Target audience: CTOs, startup founders, compliance officers, enterprise tech leaders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