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76" w:before="0" w:after="140"/>
        <w:ind w:hanging="0" w:start="0" w:end="0"/>
        <w:jc w:val="start"/>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Este es un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modelo profesional de costeo para impresión 3D como maquila</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con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modo productivo + modo comercial</w:t>
      </w:r>
      <w:r>
        <w:rPr/>
        <w:t xml:space="preserve"> y un modo de cama llena.</w:t>
      </w:r>
    </w:p>
    <w:p>
      <w:pPr>
        <w:pStyle w:val="normal1"/>
        <w:keepNext w:val="false"/>
        <w:keepLines w:val="false"/>
        <w:pageBreakBefore w:val="false"/>
        <w:widowControl/>
        <w:pBdr/>
        <w:shd w:val="clear" w:fill="auto"/>
        <w:spacing w:lineRule="auto" w:line="276" w:before="0" w:after="140"/>
        <w:ind w:hanging="0" w:start="0" w:end="0"/>
        <w:jc w:val="start"/>
        <w:rPr/>
      </w:pPr>
      <w:r>
        <w:rPr/>
        <w:t>Este documento servira como base para que una Inteligencia Artificial calcule las cotizaciones a partir de capturas de pantalla de un software Slicer como Orca, Orca Flash Forge, Bambu Studio, etc.</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Los costos </w:t>
      </w:r>
      <w:r>
        <w:rPr/>
        <w:t>deberán</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ser expresados en pesos mexicanos</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El costo del filamento por gramo es de: $0.</w:t>
      </w:r>
      <w:r>
        <w:rPr/>
        <w:t>35</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MXN a menos que se indique un costo diferente.</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El costo de </w:t>
      </w:r>
      <w:r>
        <w:rPr/>
        <w:t>energía</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debe ser el </w:t>
      </w:r>
      <w:r>
        <w:rPr/>
        <w:t>estándar</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de mexico</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Se busca ganar $350 MXN al </w:t>
      </w:r>
      <w:r>
        <w:rPr/>
        <w:t>día</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en modo productivo por impresora, sin embargo se debe calcular el costo en modo productivo</w:t>
      </w:r>
      <w:r>
        <w:rPr/>
        <w:t xml:space="preserve">, </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en modo comercial</w:t>
      </w:r>
      <w:r>
        <w:rPr/>
        <w:t xml:space="preserve"> y en modo de cama llena</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En modo comercial deberemos calcular un precio con diferentes porcentajes de utilidad, estos son, 20%, 30%, 40% y 50% y un promedio de todos ellos.</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Se cuentan con 3 impresoras, una A1 Bambu Lab, una A1 Mini Bambu Lab, </w:t>
      </w:r>
      <w:r>
        <w:rPr/>
        <w:t>una Flash Forge AD5X</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El costo de mano de obra, retiro de soportes, cambio de filamentos etc. es de $30</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Las horas de funcionamiento de las impresoras es de 12 horas.</w:t>
      </w:r>
    </w:p>
    <w:p>
      <w:pPr>
        <w:pStyle w:val="normal1"/>
        <w:keepNext w:val="false"/>
        <w:keepLines w:val="false"/>
        <w:pageBreakBefore w:val="false"/>
        <w:widowControl/>
        <w:pBdr/>
        <w:shd w:val="clear" w:fill="auto"/>
        <w:spacing w:lineRule="auto" w:line="276" w:before="0" w:after="140"/>
        <w:ind w:hanging="0" w:start="0" w:end="0"/>
        <w:jc w:val="start"/>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Si se requiere las impresoras pueden funcionar 24 horas, pero </w:t>
      </w:r>
      <w:r>
        <w:rPr/>
        <w:t>tendría</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un costo extra</w:t>
      </w:r>
      <w:r>
        <w:rPr/>
        <w:t xml:space="preserve"> al precio final de 1.5x</w:t>
      </w:r>
    </w:p>
    <w:p>
      <w:pPr>
        <w:pStyle w:val="normal1"/>
        <w:keepNext w:val="false"/>
        <w:keepLines w:val="false"/>
        <w:pageBreakBefore w:val="false"/>
        <w:widowControl/>
        <w:pBdr/>
        <w:shd w:val="clear" w:fill="auto"/>
        <w:spacing w:lineRule="auto" w:line="276" w:before="0" w:after="140"/>
        <w:ind w:hanging="0" w:start="0" w:end="0"/>
        <w:jc w:val="start"/>
        <w:rPr/>
      </w:pPr>
      <w:r>
        <w:rPr/>
        <w:t xml:space="preserve">Si una pieza es multibandeja, </w:t>
      </w:r>
      <w:r>
        <w:rPr/>
        <w:t>(por ejemplo, un modelo de un vehiculo que se imprime en varias bandejas)</w:t>
      </w:r>
      <w:r>
        <w:rPr/>
        <w:t xml:space="preserve"> y la cantidad de bandejas es mayor o igual a 3, el costo de la mano de obra sera de $10 por bandeja, si la pieza es menor o igual a 2 bandejas, el costo de la mano de obra sera el definido de $30</w:t>
      </w:r>
    </w:p>
    <w:p>
      <w:pPr>
        <w:pStyle w:val="normal1"/>
        <w:keepNext w:val="false"/>
        <w:keepLines w:val="false"/>
        <w:pageBreakBefore w:val="false"/>
        <w:widowControl/>
        <w:pBdr/>
        <w:shd w:val="clear" w:fill="auto"/>
        <w:spacing w:lineRule="auto" w:line="276" w:before="0" w:after="140"/>
        <w:ind w:hanging="0" w:start="0" w:end="0"/>
        <w:jc w:val="start"/>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El costo de DESGASTE_H correspond</w:t>
      </w:r>
      <w:r>
        <w:rPr/>
        <w:t>e a la siguiente regla:</w:t>
      </w:r>
    </w:p>
    <w:p>
      <w:pPr>
        <w:pStyle w:val="Heading1"/>
        <w:keepNext w:val="false"/>
        <w:spacing w:lineRule="auto" w:line="276" w:before="0" w:after="120"/>
        <w:rPr>
          <w:rFonts w:ascii="Arial" w:hAnsi="Arial" w:eastAsia="Arial" w:cs="Arial"/>
          <w:sz w:val="46"/>
          <w:szCs w:val="46"/>
        </w:rPr>
      </w:pPr>
      <w:bookmarkStart w:id="0" w:name="_heading=h.g982apnf8jyf"/>
      <w:bookmarkEnd w:id="0"/>
      <w:r>
        <w:rPr>
          <w:rFonts w:eastAsia="Arial" w:cs="Arial" w:ascii="Arial" w:hAnsi="Arial"/>
          <w:sz w:val="46"/>
          <w:szCs w:val="46"/>
        </w:rPr>
        <w:t>Política de Amortización, Mantenimiento y Expansión de Maquinaria (v3.0)</w:t>
      </w:r>
    </w:p>
    <w:p>
      <w:pPr>
        <w:pStyle w:val="Heading2"/>
        <w:keepNext w:val="false"/>
        <w:spacing w:lineRule="auto" w:line="276" w:before="0" w:after="80"/>
        <w:rPr>
          <w:rFonts w:ascii="Arial" w:hAnsi="Arial" w:eastAsia="Arial" w:cs="Arial"/>
          <w:sz w:val="34"/>
          <w:szCs w:val="34"/>
        </w:rPr>
      </w:pPr>
      <w:bookmarkStart w:id="1" w:name="_heading=h.dwqox9uhwe4h"/>
      <w:bookmarkEnd w:id="1"/>
      <w:r>
        <w:rPr>
          <w:rFonts w:eastAsia="Arial" w:cs="Arial" w:ascii="Arial" w:hAnsi="Arial"/>
          <w:sz w:val="34"/>
          <w:szCs w:val="34"/>
        </w:rPr>
        <w:t>1. Objetivo</w:t>
      </w:r>
    </w:p>
    <w:p>
      <w:pPr>
        <w:pStyle w:val="normal1"/>
        <w:spacing w:lineRule="auto" w:line="276" w:before="0" w:after="240"/>
        <w:rPr>
          <w:rFonts w:ascii="Arial" w:hAnsi="Arial" w:eastAsia="Arial" w:cs="Arial"/>
        </w:rPr>
      </w:pPr>
      <w:r>
        <w:rPr>
          <w:rFonts w:eastAsia="Arial" w:cs="Arial" w:ascii="Arial" w:hAnsi="Arial"/>
        </w:rPr>
        <w:t>Garantizar la rentabilidad y el crecimiento acelerado del negocio mediante un cobro por hora que cubra la depreciación real de los equipos, el mantenimiento técnico y la generación de capital para duplicar la capacidad instalada (compra de segundas unidades).</w:t>
      </w:r>
    </w:p>
    <w:p>
      <w:pPr>
        <w:pStyle w:val="Heading2"/>
        <w:keepNext w:val="false"/>
        <w:spacing w:lineRule="auto" w:line="276" w:before="0" w:after="80"/>
        <w:rPr>
          <w:rFonts w:ascii="Arial" w:hAnsi="Arial" w:eastAsia="Arial" w:cs="Arial"/>
          <w:sz w:val="34"/>
          <w:szCs w:val="34"/>
        </w:rPr>
      </w:pPr>
      <w:bookmarkStart w:id="2" w:name="_heading=h.2kgd5ca8lwnn"/>
      <w:bookmarkEnd w:id="2"/>
      <w:r>
        <w:rPr>
          <w:rFonts w:eastAsia="Arial" w:cs="Arial" w:ascii="Arial" w:hAnsi="Arial"/>
          <w:sz w:val="34"/>
          <w:szCs w:val="34"/>
        </w:rPr>
        <w:t>2. Metodología de Escalabilidad (Factor 2.3x)</w:t>
      </w:r>
    </w:p>
    <w:p>
      <w:pPr>
        <w:pStyle w:val="normal1"/>
        <w:spacing w:lineRule="auto" w:line="276" w:before="0" w:after="240"/>
        <w:rPr>
          <w:rFonts w:ascii="Arial" w:hAnsi="Arial" w:eastAsia="Arial" w:cs="Arial"/>
        </w:rPr>
      </w:pPr>
      <w:r>
        <w:rPr>
          <w:rFonts w:eastAsia="Arial" w:cs="Arial" w:ascii="Arial" w:hAnsi="Arial"/>
        </w:rPr>
        <w:t xml:space="preserve">Para cada hora de impresión, el costo de desgaste se calcula bajo la fórmula de </w:t>
      </w:r>
      <w:r>
        <w:rPr>
          <w:rFonts w:eastAsia="Arial" w:cs="Arial" w:ascii="Arial" w:hAnsi="Arial"/>
          <w:b/>
          <w:bCs/>
        </w:rPr>
        <w:t>Aceleración de Activos</w:t>
      </w:r>
      <w:r>
        <w:rPr>
          <w:rFonts w:eastAsia="Arial" w:cs="Arial" w:ascii="Arial" w:hAnsi="Arial"/>
        </w:rPr>
        <w:t>:</w:t>
      </w:r>
    </w:p>
    <w:p>
      <w:pPr>
        <w:pStyle w:val="normal1"/>
        <w:spacing w:lineRule="auto" w:line="276" w:before="0" w:after="140"/>
        <w:rPr>
          <w:rFonts w:ascii="Arial" w:hAnsi="Arial" w:eastAsia="Arial" w:cs="Arial"/>
        </w:rPr>
      </w:pPr>
      <w:r>
        <w:rPr>
          <w:rFonts w:eastAsia="Arial" w:cs="Arial" w:ascii="Arial" w:hAnsi="Arial"/>
        </w:rPr>
        <w:t>Costo por Hora = Inversión Inicial x 2.3 / 10000</w:t>
      </w:r>
    </w:p>
    <w:p>
      <w:pPr>
        <w:pStyle w:val="normal1"/>
        <w:numPr>
          <w:ilvl w:val="0"/>
          <w:numId w:val="1"/>
        </w:numPr>
        <w:spacing w:lineRule="auto" w:line="276" w:before="0" w:afterAutospacing="0" w:after="0"/>
        <w:ind w:hanging="360" w:start="720"/>
        <w:rPr/>
      </w:pPr>
      <w:r>
        <w:rPr>
          <w:rFonts w:eastAsia="Arial" w:cs="Arial" w:ascii="Arial" w:hAnsi="Arial"/>
          <w:b/>
          <w:bCs/>
        </w:rPr>
        <w:t>1.0x (Recuperación):</w:t>
      </w:r>
      <w:r>
        <w:rPr>
          <w:rFonts w:eastAsia="Arial" w:cs="Arial" w:ascii="Arial" w:hAnsi="Arial"/>
        </w:rPr>
        <w:t xml:space="preserve"> Para reponer la máquina al final de su vida útil.</w:t>
      </w:r>
    </w:p>
    <w:p>
      <w:pPr>
        <w:pStyle w:val="normal1"/>
        <w:numPr>
          <w:ilvl w:val="0"/>
          <w:numId w:val="1"/>
        </w:numPr>
        <w:spacing w:lineRule="auto" w:line="276" w:before="0" w:afterAutospacing="0" w:after="0"/>
        <w:ind w:hanging="360" w:start="720"/>
        <w:rPr/>
      </w:pPr>
      <w:r>
        <w:rPr>
          <w:rFonts w:eastAsia="Arial" w:cs="Arial" w:ascii="Arial" w:hAnsi="Arial"/>
          <w:b/>
          <w:bCs/>
        </w:rPr>
        <w:t>1.0x (Expansión):</w:t>
      </w:r>
      <w:r>
        <w:rPr>
          <w:rFonts w:eastAsia="Arial" w:cs="Arial" w:ascii="Arial" w:hAnsi="Arial"/>
        </w:rPr>
        <w:t xml:space="preserve"> Capital neto para adquirir una unidad nueva.</w:t>
      </w:r>
    </w:p>
    <w:p>
      <w:pPr>
        <w:pStyle w:val="normal1"/>
        <w:numPr>
          <w:ilvl w:val="0"/>
          <w:numId w:val="1"/>
        </w:numPr>
        <w:spacing w:lineRule="auto" w:line="276" w:before="0" w:after="240"/>
        <w:ind w:hanging="360" w:start="720"/>
        <w:rPr/>
      </w:pPr>
      <w:r>
        <w:rPr>
          <w:rFonts w:eastAsia="Arial" w:cs="Arial" w:ascii="Arial" w:hAnsi="Arial"/>
          <w:b/>
          <w:bCs/>
        </w:rPr>
        <w:t>0.3x (Mantenimiento):</w:t>
      </w:r>
      <w:r>
        <w:rPr>
          <w:rFonts w:eastAsia="Arial" w:cs="Arial" w:ascii="Arial" w:hAnsi="Arial"/>
        </w:rPr>
        <w:t xml:space="preserve"> Fondo para refacciones (boquillas, bandas, sensores).</w:t>
      </w:r>
    </w:p>
    <w:p>
      <w:pPr>
        <w:pStyle w:val="normal1"/>
        <w:spacing w:lineRule="auto" w:line="276" w:before="0" w:after="140"/>
        <w:rPr>
          <w:rFonts w:ascii="Arial" w:hAnsi="Arial" w:eastAsia="Arial" w:cs="Arial"/>
        </w:rPr>
      </w:pPr>
      <w:r>
        <w:rPr/>
        <mc:AlternateContent>
          <mc:Choice Requires="wps">
            <w:drawing>
              <wp:inline distT="0" distB="0" distL="0" distR="0">
                <wp:extent cx="6332220" cy="19050"/>
                <wp:effectExtent l="0" t="0" r="0" b="88900"/>
                <wp:docPr id="1" name=""/>
                <a:graphic xmlns:a="http://schemas.openxmlformats.org/drawingml/2006/main">
                  <a:graphicData uri="http://schemas.microsoft.com/office/word/2010/wordprocessingShape">
                    <wps:wsp>
                      <wps:cNvSpPr/>
                      <wps:nvSpPr>
                        <wps:cNvPr id="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8.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spacing w:lineRule="auto" w:line="276" w:before="0" w:after="80"/>
        <w:rPr>
          <w:rFonts w:ascii="Arial" w:hAnsi="Arial" w:eastAsia="Arial" w:cs="Arial"/>
          <w:sz w:val="34"/>
          <w:szCs w:val="34"/>
        </w:rPr>
      </w:pPr>
      <w:bookmarkStart w:id="3" w:name="_heading=h.fm68va2mjrhu"/>
      <w:bookmarkEnd w:id="3"/>
      <w:r>
        <w:rPr>
          <w:rFonts w:eastAsia="Arial" w:cs="Arial" w:ascii="Arial" w:hAnsi="Arial"/>
          <w:sz w:val="34"/>
          <w:szCs w:val="34"/>
        </w:rPr>
        <w:t>3. Matriz de Costeo Actualizada (Valores 2026)</w:t>
      </w:r>
    </w:p>
    <w:tbl>
      <w:tblPr>
        <w:tblStyle w:val="Table1"/>
        <w:tblW w:w="9590" w:type="dxa"/>
        <w:jc w:val="start"/>
        <w:tblInd w:w="0" w:type="dxa"/>
        <w:tblLayout w:type="fixed"/>
        <w:tblCellMar>
          <w:top w:w="100" w:type="dxa"/>
          <w:start w:w="100" w:type="dxa"/>
          <w:bottom w:w="100" w:type="dxa"/>
          <w:end w:w="100" w:type="dxa"/>
        </w:tblCellMar>
        <w:tblLook w:val="0600"/>
      </w:tblPr>
      <w:tblGrid>
        <w:gridCol w:w="2044"/>
        <w:gridCol w:w="2226"/>
        <w:gridCol w:w="2734"/>
        <w:gridCol w:w="2586"/>
      </w:tblGrid>
      <w:tr>
        <w:trPr>
          <w:trHeight w:val="800" w:hRule="atLeast"/>
        </w:trPr>
        <w:tc>
          <w:tcPr>
            <w:tcW w:w="204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Equipo</w:t>
            </w:r>
          </w:p>
        </w:tc>
        <w:tc>
          <w:tcPr>
            <w:tcW w:w="222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Costo de Inversión</w:t>
            </w:r>
          </w:p>
        </w:tc>
        <w:tc>
          <w:tcPr>
            <w:tcW w:w="273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Inversión con Factor 2.3x</w:t>
            </w:r>
          </w:p>
        </w:tc>
        <w:tc>
          <w:tcPr>
            <w:tcW w:w="258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Costo Desgaste por Hora</w:t>
            </w:r>
          </w:p>
        </w:tc>
      </w:tr>
      <w:tr>
        <w:trPr>
          <w:trHeight w:val="800" w:hRule="atLeast"/>
        </w:trPr>
        <w:tc>
          <w:tcPr>
            <w:tcW w:w="204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Bambu Lab A1 Mini</w:t>
            </w:r>
          </w:p>
        </w:tc>
        <w:tc>
          <w:tcPr>
            <w:tcW w:w="222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$9,612.00</w:t>
            </w:r>
          </w:p>
        </w:tc>
        <w:tc>
          <w:tcPr>
            <w:tcW w:w="273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$22,107.60</w:t>
            </w:r>
          </w:p>
        </w:tc>
        <w:tc>
          <w:tcPr>
            <w:tcW w:w="258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$2.21 MXN</w:t>
            </w:r>
          </w:p>
        </w:tc>
      </w:tr>
      <w:tr>
        <w:trPr>
          <w:trHeight w:val="530" w:hRule="atLeast"/>
        </w:trPr>
        <w:tc>
          <w:tcPr>
            <w:tcW w:w="204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Bambu Lab A1</w:t>
            </w:r>
          </w:p>
        </w:tc>
        <w:tc>
          <w:tcPr>
            <w:tcW w:w="222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$14,000.00</w:t>
            </w:r>
          </w:p>
        </w:tc>
        <w:tc>
          <w:tcPr>
            <w:tcW w:w="273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$32,200.00</w:t>
            </w:r>
          </w:p>
        </w:tc>
        <w:tc>
          <w:tcPr>
            <w:tcW w:w="258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$3.22 MXN</w:t>
            </w:r>
          </w:p>
        </w:tc>
      </w:tr>
      <w:tr>
        <w:trPr>
          <w:trHeight w:val="800" w:hRule="atLeast"/>
        </w:trPr>
        <w:tc>
          <w:tcPr>
            <w:tcW w:w="204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Flash Forge AD5X</w:t>
            </w:r>
          </w:p>
        </w:tc>
        <w:tc>
          <w:tcPr>
            <w:tcW w:w="222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$7,784.60</w:t>
            </w:r>
          </w:p>
        </w:tc>
        <w:tc>
          <w:tcPr>
            <w:tcW w:w="2734"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$17,904.58</w:t>
            </w:r>
          </w:p>
        </w:tc>
        <w:tc>
          <w:tcPr>
            <w:tcW w:w="258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$1.79 MXN</w:t>
            </w:r>
          </w:p>
        </w:tc>
      </w:tr>
    </w:tbl>
    <w:p>
      <w:pPr>
        <w:pStyle w:val="normal1"/>
        <w:keepNext w:val="false"/>
        <w:keepLines w:val="false"/>
        <w:pageBreakBefore w:val="false"/>
        <w:widowControl/>
        <w:pBdr/>
        <w:shd w:val="clear" w:fill="auto"/>
        <w:spacing w:lineRule="auto" w:line="276" w:before="0" w:after="140"/>
        <w:ind w:hanging="0" w:start="0" w:end="0"/>
        <w:jc w:val="start"/>
        <w:rPr/>
      </w:pPr>
      <w:r>
        <w:rPr/>
      </w:r>
    </w:p>
    <w:p>
      <w:pPr>
        <w:pStyle w:val="normal1"/>
        <w:keepNext w:val="false"/>
        <w:keepLines w:val="false"/>
        <w:pageBreakBefore w:val="false"/>
        <w:widowControl/>
        <w:pBdr/>
        <w:shd w:val="clear" w:fill="auto"/>
        <w:spacing w:lineRule="auto" w:line="276" w:before="0" w:after="140"/>
        <w:ind w:hanging="0" w:start="0" w:end="0"/>
        <w:jc w:val="start"/>
        <w:rPr/>
      </w:pPr>
      <w:r>
        <w:rPr/>
        <w:t>SIN EMBARGO SE UNIFICA EL COSTO DE DESGASTE A $4.00 PARA SIMPLIFICAR</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Consideraciones de electricidad</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 Parámetros de Consumo por Modelo (kWh):</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Bambu Lab A1 Mini: 0.0</w:t>
      </w:r>
      <w:r>
        <w:rPr/>
        <w:t>6</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kWh (promedio impresión PLA)</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Bambu Lab A1: 0.</w:t>
      </w:r>
      <w:r>
        <w:rPr/>
        <w:t>11</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kWh (promedio impresión PLA)</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t>Flash Forge AD5X: 0.13 kWh (promedio impresión PLA)</w:t>
      </w:r>
    </w:p>
    <w:p>
      <w:pPr>
        <w:pStyle w:val="Heading1"/>
        <w:keepNext w:val="false"/>
        <w:spacing w:lineRule="auto" w:line="276" w:before="0" w:after="120"/>
        <w:rPr>
          <w:rFonts w:ascii="Arial" w:hAnsi="Arial" w:eastAsia="Arial" w:cs="Arial"/>
          <w:sz w:val="46"/>
          <w:szCs w:val="46"/>
        </w:rPr>
      </w:pPr>
      <w:bookmarkStart w:id="4" w:name="_heading=h.iams7gro8tao"/>
      <w:bookmarkEnd w:id="4"/>
      <w:r>
        <w:rPr>
          <w:rFonts w:eastAsia="Arial" w:cs="Arial" w:ascii="Arial" w:hAnsi="Arial"/>
          <w:sz w:val="46"/>
          <w:szCs w:val="46"/>
        </w:rPr>
        <w:t>Política de Costeo Energético y Protección de Margen (Enero 2026)</w:t>
      </w:r>
    </w:p>
    <w:p>
      <w:pPr>
        <w:pStyle w:val="Heading2"/>
        <w:keepNext w:val="false"/>
        <w:spacing w:lineRule="auto" w:line="276" w:before="0" w:after="80"/>
        <w:rPr>
          <w:rFonts w:ascii="Arial" w:hAnsi="Arial" w:eastAsia="Arial" w:cs="Arial"/>
          <w:sz w:val="34"/>
          <w:szCs w:val="34"/>
        </w:rPr>
      </w:pPr>
      <w:bookmarkStart w:id="5" w:name="_heading=h.88ovzqwpcu0s"/>
      <w:bookmarkEnd w:id="5"/>
      <w:r>
        <w:rPr>
          <w:rFonts w:eastAsia="Arial" w:cs="Arial" w:ascii="Arial" w:hAnsi="Arial"/>
          <w:sz w:val="34"/>
          <w:szCs w:val="34"/>
        </w:rPr>
        <w:t>1. Objetivo</w:t>
      </w:r>
    </w:p>
    <w:p>
      <w:pPr>
        <w:pStyle w:val="normal1"/>
        <w:spacing w:lineRule="auto" w:line="276" w:before="0" w:after="240"/>
        <w:rPr>
          <w:rFonts w:ascii="Arial" w:hAnsi="Arial" w:eastAsia="Arial" w:cs="Arial"/>
        </w:rPr>
      </w:pPr>
      <w:r>
        <w:rPr>
          <w:rFonts w:eastAsia="Arial" w:cs="Arial" w:ascii="Arial" w:hAnsi="Arial"/>
        </w:rPr>
        <w:t xml:space="preserve">Estandarizar el cobro del consumo eléctrico en todas las cotizaciones de impresión 3D para mitigar el riesgo financiero derivado de la reclasificación a la </w:t>
      </w:r>
      <w:r>
        <w:rPr>
          <w:rFonts w:eastAsia="Arial" w:cs="Arial" w:ascii="Arial" w:hAnsi="Arial"/>
          <w:b/>
          <w:bCs/>
        </w:rPr>
        <w:t>Tarifa DAC (Doméstica de Alto Consumo)</w:t>
      </w:r>
      <w:r>
        <w:rPr>
          <w:rFonts w:eastAsia="Arial" w:cs="Arial" w:ascii="Arial" w:hAnsi="Arial"/>
        </w:rPr>
        <w:t xml:space="preserve"> en la CDMX y asegurar la creación de un fondo de mantenimiento operativo.</w:t>
      </w:r>
    </w:p>
    <w:p>
      <w:pPr>
        <w:pStyle w:val="Heading2"/>
        <w:keepNext w:val="false"/>
        <w:spacing w:lineRule="auto" w:line="276" w:before="0" w:after="80"/>
        <w:rPr>
          <w:rFonts w:ascii="Arial" w:hAnsi="Arial" w:eastAsia="Arial" w:cs="Arial"/>
          <w:sz w:val="34"/>
          <w:szCs w:val="34"/>
        </w:rPr>
      </w:pPr>
      <w:bookmarkStart w:id="6" w:name="_heading=h.w34beh1swzx7"/>
      <w:bookmarkEnd w:id="6"/>
      <w:r>
        <w:rPr>
          <w:rFonts w:eastAsia="Arial" w:cs="Arial" w:ascii="Arial" w:hAnsi="Arial"/>
          <w:sz w:val="34"/>
          <w:szCs w:val="34"/>
        </w:rPr>
        <w:t>2. Definición de la Tarifa Estándar</w:t>
      </w:r>
    </w:p>
    <w:p>
      <w:pPr>
        <w:pStyle w:val="normal1"/>
        <w:spacing w:lineRule="auto" w:line="276" w:before="0" w:after="240"/>
        <w:rPr>
          <w:rFonts w:ascii="Arial" w:hAnsi="Arial" w:eastAsia="Arial" w:cs="Arial"/>
        </w:rPr>
      </w:pPr>
      <w:r>
        <w:rPr>
          <w:rFonts w:eastAsia="Arial" w:cs="Arial" w:ascii="Arial" w:hAnsi="Arial"/>
        </w:rPr>
        <w:t xml:space="preserve">Se establece un costo fijo de </w:t>
      </w:r>
      <w:r>
        <w:rPr>
          <w:rFonts w:eastAsia="Arial" w:cs="Arial" w:ascii="Arial" w:hAnsi="Arial"/>
          <w:b/>
          <w:bCs/>
        </w:rPr>
        <w:t>$8.00 MXN por kWh</w:t>
      </w:r>
      <w:r>
        <w:rPr>
          <w:rFonts w:eastAsia="Arial" w:cs="Arial" w:ascii="Arial" w:hAnsi="Arial"/>
        </w:rPr>
        <w:t xml:space="preserve"> para todo cálculo de presupuesto.</w:t>
      </w:r>
    </w:p>
    <w:p>
      <w:pPr>
        <w:pStyle w:val="normal1"/>
        <w:spacing w:lineRule="auto" w:line="276" w:before="0" w:after="240"/>
        <w:rPr>
          <w:rFonts w:ascii="Arial" w:hAnsi="Arial" w:eastAsia="Arial" w:cs="Arial"/>
        </w:rPr>
      </w:pPr>
      <w:r>
        <w:rPr>
          <w:rFonts w:eastAsia="Arial" w:cs="Arial" w:ascii="Arial" w:hAnsi="Arial"/>
        </w:rPr>
        <w:t>Este valor se desglosa de la siguiente manera:</w:t>
      </w:r>
    </w:p>
    <w:p>
      <w:pPr>
        <w:pStyle w:val="normal1"/>
        <w:numPr>
          <w:ilvl w:val="0"/>
          <w:numId w:val="4"/>
        </w:numPr>
        <w:spacing w:lineRule="auto" w:line="276" w:before="0" w:afterAutospacing="0" w:after="0"/>
        <w:ind w:hanging="360" w:start="720"/>
        <w:rPr/>
      </w:pPr>
      <w:r>
        <w:rPr>
          <w:rFonts w:eastAsia="Arial" w:cs="Arial" w:ascii="Arial" w:hAnsi="Arial"/>
          <w:b/>
          <w:bCs/>
        </w:rPr>
        <w:t>Base Energética:</w:t>
      </w:r>
      <w:r>
        <w:rPr>
          <w:rFonts w:eastAsia="Arial" w:cs="Arial" w:ascii="Arial" w:hAnsi="Arial"/>
        </w:rPr>
        <w:t xml:space="preserve"> Costo por kWh en Tarifa DAC (Región Central 2026).</w:t>
      </w:r>
    </w:p>
    <w:p>
      <w:pPr>
        <w:pStyle w:val="normal1"/>
        <w:numPr>
          <w:ilvl w:val="0"/>
          <w:numId w:val="4"/>
        </w:numPr>
        <w:spacing w:lineRule="auto" w:line="276" w:before="0" w:afterAutospacing="0" w:after="0"/>
        <w:ind w:hanging="360" w:start="720"/>
        <w:rPr/>
      </w:pPr>
      <w:r>
        <w:rPr>
          <w:rFonts w:eastAsia="Arial" w:cs="Arial" w:ascii="Arial" w:hAnsi="Arial"/>
          <w:b/>
          <w:bCs/>
        </w:rPr>
        <w:t>Carga Impositiva:</w:t>
      </w:r>
      <w:r>
        <w:rPr>
          <w:rFonts w:eastAsia="Arial" w:cs="Arial" w:ascii="Arial" w:hAnsi="Arial"/>
        </w:rPr>
        <w:t xml:space="preserve"> Inclusión del </w:t>
      </w:r>
      <w:r>
        <w:rPr>
          <w:rFonts w:eastAsia="Arial" w:cs="Arial" w:ascii="Arial" w:hAnsi="Arial"/>
          <w:b/>
          <w:bCs/>
        </w:rPr>
        <w:t>$16% de IVA</w:t>
      </w:r>
      <w:r>
        <w:rPr>
          <w:rFonts w:eastAsia="Arial" w:cs="Arial" w:ascii="Arial" w:hAnsi="Arial"/>
        </w:rPr>
        <w:t>.</w:t>
      </w:r>
    </w:p>
    <w:p>
      <w:pPr>
        <w:pStyle w:val="normal1"/>
        <w:numPr>
          <w:ilvl w:val="0"/>
          <w:numId w:val="4"/>
        </w:numPr>
        <w:spacing w:lineRule="auto" w:line="276" w:before="0" w:after="240"/>
        <w:ind w:hanging="360" w:start="720"/>
        <w:rPr/>
      </w:pPr>
      <w:r>
        <w:rPr>
          <w:rFonts w:eastAsia="Arial" w:cs="Arial" w:ascii="Arial" w:hAnsi="Arial"/>
          <w:b/>
          <w:bCs/>
        </w:rPr>
        <w:t>Factor de Seguridad:</w:t>
      </w:r>
      <w:r>
        <w:rPr>
          <w:rFonts w:eastAsia="Arial" w:cs="Arial" w:ascii="Arial" w:hAnsi="Arial"/>
        </w:rPr>
        <w:t xml:space="preserve"> Margen para cubrir el </w:t>
      </w:r>
      <w:r>
        <w:rPr>
          <w:rFonts w:eastAsia="Arial" w:cs="Arial" w:ascii="Arial" w:hAnsi="Arial"/>
          <w:b/>
          <w:bCs/>
        </w:rPr>
        <w:t>Cargo Fijo mensual</w:t>
      </w:r>
      <w:r>
        <w:rPr>
          <w:rFonts w:eastAsia="Arial" w:cs="Arial" w:ascii="Arial" w:hAnsi="Arial"/>
        </w:rPr>
        <w:t xml:space="preserve"> (aprox $142.41 MXN) y fluctuaciones mensuales de la SHCP.</w:t>
      </w:r>
    </w:p>
    <w:p>
      <w:pPr>
        <w:pStyle w:val="normal1"/>
        <w:spacing w:lineRule="auto" w:line="276" w:before="0" w:after="140"/>
        <w:rPr>
          <w:rFonts w:ascii="Arial" w:hAnsi="Arial" w:eastAsia="Arial" w:cs="Arial"/>
        </w:rPr>
      </w:pPr>
      <w:r>
        <w:rPr/>
        <mc:AlternateContent>
          <mc:Choice Requires="wps">
            <w:drawing>
              <wp:inline distT="0" distB="0" distL="0" distR="0">
                <wp:extent cx="6332220" cy="19050"/>
                <wp:effectExtent l="0" t="0" r="0" b="88900"/>
                <wp:docPr id="3" name=""/>
                <a:graphic xmlns:a="http://schemas.openxmlformats.org/drawingml/2006/main">
                  <a:graphicData uri="http://schemas.microsoft.com/office/word/2010/wordprocessingShape">
                    <wps:wsp>
                      <wps:cNvSpPr/>
                      <wps:nvSpPr>
                        <wps:cNvPr id="4"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8.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spacing w:lineRule="auto" w:line="276" w:before="0" w:after="80"/>
        <w:rPr>
          <w:rFonts w:ascii="Arial" w:hAnsi="Arial" w:eastAsia="Arial" w:cs="Arial"/>
          <w:sz w:val="34"/>
          <w:szCs w:val="34"/>
        </w:rPr>
      </w:pPr>
      <w:bookmarkStart w:id="7" w:name="_heading=h.ahunsuv4iun8"/>
      <w:bookmarkEnd w:id="7"/>
      <w:r>
        <w:rPr>
          <w:rFonts w:eastAsia="Arial" w:cs="Arial" w:ascii="Arial" w:hAnsi="Arial"/>
          <w:sz w:val="34"/>
          <w:szCs w:val="34"/>
        </w:rPr>
        <w:t>3. Matriz de Costeo por Equipo</w:t>
      </w:r>
    </w:p>
    <w:p>
      <w:pPr>
        <w:pStyle w:val="normal1"/>
        <w:spacing w:lineRule="auto" w:line="276" w:before="0" w:after="240"/>
        <w:rPr>
          <w:rFonts w:ascii="Arial" w:hAnsi="Arial" w:eastAsia="Arial" w:cs="Arial"/>
        </w:rPr>
      </w:pPr>
      <w:r>
        <w:rPr>
          <w:rFonts w:eastAsia="Arial" w:cs="Arial" w:ascii="Arial" w:hAnsi="Arial"/>
        </w:rPr>
        <w:t>Para simplificar la operación, se aplicarán los siguientes valores por hora de impresión (Material: PLA/PETG):</w:t>
      </w:r>
    </w:p>
    <w:tbl>
      <w:tblPr>
        <w:tblStyle w:val="Table2"/>
        <w:tblW w:w="9760" w:type="dxa"/>
        <w:jc w:val="start"/>
        <w:tblInd w:w="0" w:type="dxa"/>
        <w:tblLayout w:type="fixed"/>
        <w:tblCellMar>
          <w:top w:w="100" w:type="dxa"/>
          <w:start w:w="100" w:type="dxa"/>
          <w:bottom w:w="100" w:type="dxa"/>
          <w:end w:w="100" w:type="dxa"/>
        </w:tblCellMar>
        <w:tblLook w:val="0600"/>
      </w:tblPr>
      <w:tblGrid>
        <w:gridCol w:w="2569"/>
        <w:gridCol w:w="1896"/>
        <w:gridCol w:w="1940"/>
        <w:gridCol w:w="1670"/>
        <w:gridCol w:w="1685"/>
      </w:tblGrid>
      <w:tr>
        <w:trPr>
          <w:trHeight w:val="800" w:hRule="atLeast"/>
        </w:trPr>
        <w:tc>
          <w:tcPr>
            <w:tcW w:w="25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Modelo de Impresora</w:t>
            </w:r>
          </w:p>
        </w:tc>
        <w:tc>
          <w:tcPr>
            <w:tcW w:w="189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Consumo (kW)</w:t>
            </w:r>
          </w:p>
        </w:tc>
        <w:tc>
          <w:tcPr>
            <w:tcW w:w="19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Costo por Hora</w:t>
            </w:r>
          </w:p>
        </w:tc>
        <w:tc>
          <w:tcPr>
            <w:tcW w:w="16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Costo 12 hrs</w:t>
            </w:r>
          </w:p>
        </w:tc>
        <w:tc>
          <w:tcPr>
            <w:tcW w:w="1685"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Costo 24 hrs</w:t>
            </w:r>
          </w:p>
        </w:tc>
      </w:tr>
      <w:tr>
        <w:trPr>
          <w:trHeight w:val="530" w:hRule="atLeast"/>
        </w:trPr>
        <w:tc>
          <w:tcPr>
            <w:tcW w:w="25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Bambu Lab A1 Mini</w:t>
            </w:r>
          </w:p>
        </w:tc>
        <w:tc>
          <w:tcPr>
            <w:tcW w:w="189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$0.06$</w:t>
            </w:r>
          </w:p>
        </w:tc>
        <w:tc>
          <w:tcPr>
            <w:tcW w:w="19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$0.48</w:t>
            </w:r>
          </w:p>
        </w:tc>
        <w:tc>
          <w:tcPr>
            <w:tcW w:w="16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$5.76</w:t>
            </w:r>
          </w:p>
        </w:tc>
        <w:tc>
          <w:tcPr>
            <w:tcW w:w="1685"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$11.52</w:t>
            </w:r>
          </w:p>
        </w:tc>
      </w:tr>
      <w:tr>
        <w:trPr>
          <w:trHeight w:val="530" w:hRule="atLeast"/>
        </w:trPr>
        <w:tc>
          <w:tcPr>
            <w:tcW w:w="25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Bambu Lab A1</w:t>
            </w:r>
          </w:p>
        </w:tc>
        <w:tc>
          <w:tcPr>
            <w:tcW w:w="189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$0.11$</w:t>
            </w:r>
          </w:p>
        </w:tc>
        <w:tc>
          <w:tcPr>
            <w:tcW w:w="19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$0.88</w:t>
            </w:r>
          </w:p>
        </w:tc>
        <w:tc>
          <w:tcPr>
            <w:tcW w:w="16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$10.56</w:t>
            </w:r>
          </w:p>
        </w:tc>
        <w:tc>
          <w:tcPr>
            <w:tcW w:w="1685"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$21.12</w:t>
            </w:r>
          </w:p>
        </w:tc>
      </w:tr>
      <w:tr>
        <w:trPr>
          <w:trHeight w:val="530" w:hRule="atLeast"/>
        </w:trPr>
        <w:tc>
          <w:tcPr>
            <w:tcW w:w="2569"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Flash Forge AD5X</w:t>
            </w:r>
          </w:p>
        </w:tc>
        <w:tc>
          <w:tcPr>
            <w:tcW w:w="1896"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$0.13$</w:t>
            </w:r>
          </w:p>
        </w:tc>
        <w:tc>
          <w:tcPr>
            <w:tcW w:w="194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b/>
                <w:bCs/>
              </w:rPr>
              <w:t>$1.04</w:t>
            </w:r>
          </w:p>
        </w:tc>
        <w:tc>
          <w:tcPr>
            <w:tcW w:w="167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$12.48</w:t>
            </w:r>
          </w:p>
        </w:tc>
        <w:tc>
          <w:tcPr>
            <w:tcW w:w="1685"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480"/>
              <w:rPr>
                <w:rFonts w:ascii="Arial" w:hAnsi="Arial" w:eastAsia="Arial" w:cs="Arial"/>
              </w:rPr>
            </w:pPr>
            <w:r>
              <w:rPr>
                <w:rFonts w:eastAsia="Arial" w:cs="Arial" w:ascii="Arial" w:hAnsi="Arial"/>
              </w:rPr>
              <w:t>$24.96</w:t>
            </w:r>
          </w:p>
        </w:tc>
      </w:tr>
    </w:tbl>
    <w:p>
      <w:pPr>
        <w:pStyle w:val="normal1"/>
        <w:spacing w:lineRule="auto" w:line="276" w:before="0" w:after="240"/>
        <w:ind w:hanging="0" w:start="600" w:end="600"/>
        <w:rPr>
          <w:rFonts w:ascii="Arial" w:hAnsi="Arial" w:eastAsia="Arial" w:cs="Arial"/>
        </w:rPr>
      </w:pPr>
      <w:r>
        <w:rPr>
          <w:rFonts w:eastAsia="Arial" w:cs="Arial" w:ascii="Arial" w:hAnsi="Arial"/>
          <w:b/>
          <w:bCs/>
        </w:rPr>
        <w:t>Regla de Materiales Técnicos:</w:t>
      </w:r>
      <w:r>
        <w:rPr>
          <w:rFonts w:eastAsia="Arial" w:cs="Arial" w:ascii="Arial" w:hAnsi="Arial"/>
        </w:rPr>
        <w:t xml:space="preserve"> En impresiones que requieran cama caliente a temperaturas superiores a 70 grados (ABS, ASA, Nylon), se deberá aplicar un </w:t>
      </w:r>
      <w:r>
        <w:rPr>
          <w:rFonts w:eastAsia="Arial" w:cs="Arial" w:ascii="Arial" w:hAnsi="Arial"/>
          <w:b/>
          <w:bCs/>
        </w:rPr>
        <w:t>sobrecargo del 30%</w:t>
      </w:r>
      <w:r>
        <w:rPr>
          <w:rFonts w:eastAsia="Arial" w:cs="Arial" w:ascii="Arial" w:hAnsi="Arial"/>
        </w:rPr>
        <w:t xml:space="preserve"> sobre el costo eléctrico total debido al incremento en el ciclo de trabajo de las resistencias.</w:t>
      </w:r>
    </w:p>
    <w:p>
      <w:pPr>
        <w:pStyle w:val="normal1"/>
        <w:spacing w:lineRule="auto" w:line="276" w:before="0" w:after="140"/>
        <w:rPr>
          <w:rFonts w:ascii="Arial" w:hAnsi="Arial" w:eastAsia="Arial" w:cs="Arial"/>
        </w:rPr>
      </w:pPr>
      <w:r>
        <w:rPr/>
        <mc:AlternateContent>
          <mc:Choice Requires="wps">
            <w:drawing>
              <wp:inline distT="0" distB="0" distL="0" distR="0">
                <wp:extent cx="6332220" cy="19050"/>
                <wp:effectExtent l="0" t="0" r="0" b="88900"/>
                <wp:docPr id="5" name=""/>
                <a:graphic xmlns:a="http://schemas.openxmlformats.org/drawingml/2006/main">
                  <a:graphicData uri="http://schemas.microsoft.com/office/word/2010/wordprocessingShape">
                    <wps:wsp>
                      <wps:cNvSpPr/>
                      <wps:nvSpPr>
                        <wps:cNvPr id="6"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8.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spacing w:lineRule="auto" w:line="276" w:before="0" w:after="80"/>
        <w:rPr>
          <w:rFonts w:ascii="Arial" w:hAnsi="Arial" w:eastAsia="Arial" w:cs="Arial"/>
          <w:sz w:val="34"/>
          <w:szCs w:val="34"/>
        </w:rPr>
      </w:pPr>
      <w:bookmarkStart w:id="8" w:name="_heading=h.8h9x2218j8z2"/>
      <w:bookmarkEnd w:id="8"/>
      <w:r>
        <w:rPr>
          <w:rFonts w:eastAsia="Arial" w:cs="Arial" w:ascii="Arial" w:hAnsi="Arial"/>
          <w:sz w:val="34"/>
          <w:szCs w:val="34"/>
        </w:rPr>
        <w:t>4. Justificación de la Tarifa (Riesgo DAC)</w:t>
      </w:r>
    </w:p>
    <w:p>
      <w:pPr>
        <w:pStyle w:val="normal1"/>
        <w:spacing w:lineRule="auto" w:line="276" w:before="0" w:after="240"/>
        <w:rPr>
          <w:rFonts w:ascii="Arial" w:hAnsi="Arial" w:eastAsia="Arial" w:cs="Arial"/>
        </w:rPr>
      </w:pPr>
      <w:r>
        <w:rPr>
          <w:rFonts w:eastAsia="Arial" w:cs="Arial" w:ascii="Arial" w:hAnsi="Arial"/>
        </w:rPr>
        <w:t xml:space="preserve">El uso de la tarifa máxima de </w:t>
      </w:r>
      <w:r>
        <w:rPr>
          <w:rFonts w:eastAsia="Arial" w:cs="Arial" w:ascii="Arial" w:hAnsi="Arial"/>
          <w:b/>
          <w:bCs/>
        </w:rPr>
        <w:t>$8.00</w:t>
      </w:r>
      <w:r>
        <w:rPr>
          <w:rFonts w:eastAsia="Arial" w:cs="Arial" w:ascii="Arial" w:hAnsi="Arial"/>
        </w:rPr>
        <w:t xml:space="preserve"> se fundamenta en la normativa de la CFE para la Ciudad de México:</w:t>
      </w:r>
    </w:p>
    <w:p>
      <w:pPr>
        <w:pStyle w:val="normal1"/>
        <w:numPr>
          <w:ilvl w:val="0"/>
          <w:numId w:val="3"/>
        </w:numPr>
        <w:spacing w:lineRule="auto" w:line="276" w:before="0" w:afterAutospacing="0" w:after="0"/>
        <w:ind w:hanging="360" w:start="720"/>
        <w:rPr/>
      </w:pPr>
      <w:r>
        <w:rPr>
          <w:rFonts w:eastAsia="Arial" w:cs="Arial" w:ascii="Arial" w:hAnsi="Arial"/>
          <w:b/>
          <w:bCs/>
        </w:rPr>
        <w:t>Límite de Consumo:</w:t>
      </w:r>
      <w:r>
        <w:rPr>
          <w:rFonts w:eastAsia="Arial" w:cs="Arial" w:ascii="Arial" w:hAnsi="Arial"/>
        </w:rPr>
        <w:t xml:space="preserve"> La CDMX (Tarifa 1) tiene un límite de </w:t>
      </w:r>
      <w:r>
        <w:rPr>
          <w:rFonts w:eastAsia="Arial" w:cs="Arial" w:ascii="Arial" w:hAnsi="Arial"/>
          <w:b/>
          <w:bCs/>
        </w:rPr>
        <w:t>250\ kWh mensuales</w:t>
      </w:r>
      <w:r>
        <w:rPr>
          <w:rFonts w:eastAsia="Arial" w:cs="Arial" w:ascii="Arial" w:hAnsi="Arial"/>
        </w:rPr>
        <w:t xml:space="preserve"> (o 500\ kWh bimestrales).</w:t>
      </w:r>
    </w:p>
    <w:p>
      <w:pPr>
        <w:pStyle w:val="normal1"/>
        <w:numPr>
          <w:ilvl w:val="0"/>
          <w:numId w:val="3"/>
        </w:numPr>
        <w:spacing w:lineRule="auto" w:line="276" w:before="0" w:afterAutospacing="0" w:after="0"/>
        <w:ind w:hanging="360" w:start="720"/>
        <w:rPr/>
      </w:pPr>
      <w:r>
        <w:rPr>
          <w:rFonts w:eastAsia="Arial" w:cs="Arial" w:ascii="Arial" w:hAnsi="Arial"/>
          <w:b/>
          <w:bCs/>
        </w:rPr>
        <w:t>Reclasificación Automática:</w:t>
      </w:r>
      <w:r>
        <w:rPr>
          <w:rFonts w:eastAsia="Arial" w:cs="Arial" w:ascii="Arial" w:hAnsi="Arial"/>
        </w:rPr>
        <w:t xml:space="preserve"> Si el promedio móvil de los últimos 12 meses supera dicho límite, CFE elimina automáticamente el subsidio gubernamental, triplicando el costo de la energía.</w:t>
      </w:r>
    </w:p>
    <w:p>
      <w:pPr>
        <w:pStyle w:val="normal1"/>
        <w:numPr>
          <w:ilvl w:val="0"/>
          <w:numId w:val="3"/>
        </w:numPr>
        <w:spacing w:lineRule="auto" w:line="276" w:before="0" w:after="240"/>
        <w:ind w:hanging="360" w:start="720"/>
        <w:rPr/>
      </w:pPr>
      <w:r>
        <w:rPr>
          <w:rFonts w:eastAsia="Arial" w:cs="Arial" w:ascii="Arial" w:hAnsi="Arial"/>
          <w:b/>
          <w:bCs/>
        </w:rPr>
        <w:t>Escenario del "Farm":</w:t>
      </w:r>
      <w:r>
        <w:rPr>
          <w:rFonts w:eastAsia="Arial" w:cs="Arial" w:ascii="Arial" w:hAnsi="Arial"/>
        </w:rPr>
        <w:t xml:space="preserve"> Con el parque de máquinas actual operando a media capacidad, el negocio se sitúa en la frontera del consumo excedente, haciendo de la </w:t>
      </w:r>
      <w:r>
        <w:rPr>
          <w:rFonts w:eastAsia="Arial" w:cs="Arial" w:ascii="Arial" w:hAnsi="Arial"/>
          <w:b/>
          <w:bCs/>
        </w:rPr>
        <w:t>Tarifa DAC</w:t>
      </w:r>
      <w:r>
        <w:rPr>
          <w:rFonts w:eastAsia="Arial" w:cs="Arial" w:ascii="Arial" w:hAnsi="Arial"/>
        </w:rPr>
        <w:t xml:space="preserve"> el único escenario contable seguro para evitar pérdidas.</w:t>
      </w:r>
    </w:p>
    <w:p>
      <w:pPr>
        <w:pStyle w:val="normal1"/>
        <w:spacing w:lineRule="auto" w:line="276" w:before="0" w:after="140"/>
        <w:rPr>
          <w:rFonts w:ascii="Arial" w:hAnsi="Arial" w:eastAsia="Arial" w:cs="Arial"/>
        </w:rPr>
      </w:pPr>
      <w:r>
        <w:rPr/>
        <mc:AlternateContent>
          <mc:Choice Requires="wps">
            <w:drawing>
              <wp:inline distT="0" distB="0" distL="0" distR="0">
                <wp:extent cx="6332220" cy="19050"/>
                <wp:effectExtent l="0" t="0" r="0" b="88900"/>
                <wp:docPr id="7" name=""/>
                <a:graphic xmlns:a="http://schemas.openxmlformats.org/drawingml/2006/main">
                  <a:graphicData uri="http://schemas.microsoft.com/office/word/2010/wordprocessingShape">
                    <wps:wsp>
                      <wps:cNvSpPr/>
                      <wps:nvSpPr>
                        <wps:cNvPr id="8"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8.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spacing w:lineRule="auto" w:line="276" w:before="0" w:after="80"/>
        <w:rPr>
          <w:rFonts w:ascii="Arial" w:hAnsi="Arial" w:eastAsia="Arial" w:cs="Arial"/>
          <w:sz w:val="34"/>
          <w:szCs w:val="34"/>
        </w:rPr>
      </w:pPr>
      <w:bookmarkStart w:id="9" w:name="_heading=h.fng4epgommuq"/>
      <w:bookmarkEnd w:id="9"/>
      <w:r>
        <w:rPr>
          <w:rFonts w:eastAsia="Arial" w:cs="Arial" w:ascii="Arial" w:hAnsi="Arial"/>
          <w:sz w:val="34"/>
          <w:szCs w:val="34"/>
        </w:rPr>
        <w:t>5. Referencias Oficiales para Auditoría</w:t>
      </w:r>
    </w:p>
    <w:p>
      <w:pPr>
        <w:pStyle w:val="normal1"/>
        <w:spacing w:lineRule="auto" w:line="276" w:before="0" w:after="240"/>
        <w:rPr>
          <w:rFonts w:ascii="Arial" w:hAnsi="Arial" w:eastAsia="Arial" w:cs="Arial"/>
        </w:rPr>
      </w:pPr>
      <w:r>
        <w:rPr>
          <w:rFonts w:eastAsia="Arial" w:cs="Arial" w:ascii="Arial" w:hAnsi="Arial"/>
        </w:rPr>
        <w:t xml:space="preserve">Para verificar la vigencia de estos costos, los socios pueden consultar las siguientes fuentes de la </w:t>
      </w:r>
      <w:r>
        <w:rPr>
          <w:rFonts w:eastAsia="Arial" w:cs="Arial" w:ascii="Arial" w:hAnsi="Arial"/>
          <w:b/>
          <w:bCs/>
        </w:rPr>
        <w:t>Comisión Federal de Electricidad (2026)</w:t>
      </w:r>
      <w:r>
        <w:rPr>
          <w:rFonts w:eastAsia="Arial" w:cs="Arial" w:ascii="Arial" w:hAnsi="Arial"/>
        </w:rPr>
        <w:t>:</w:t>
      </w:r>
    </w:p>
    <w:p>
      <w:pPr>
        <w:pStyle w:val="normal1"/>
        <w:numPr>
          <w:ilvl w:val="0"/>
          <w:numId w:val="2"/>
        </w:numPr>
        <w:spacing w:lineRule="auto" w:line="276" w:before="0" w:afterAutospacing="0" w:after="0"/>
        <w:ind w:hanging="360" w:start="720"/>
        <w:rPr/>
      </w:pPr>
      <w:hyperlink r:id="rId2">
        <w:r>
          <w:rPr>
            <w:rStyle w:val="Style3"/>
            <w:rFonts w:eastAsia="Arial" w:cs="Arial" w:ascii="Arial" w:hAnsi="Arial"/>
            <w:b/>
            <w:bCs/>
            <w:color w:val="1155CC"/>
            <w:u w:val="single"/>
          </w:rPr>
          <w:t>Portal de Tarifas DAC</w:t>
        </w:r>
      </w:hyperlink>
      <w:r>
        <w:rPr>
          <w:rFonts w:eastAsia="Arial" w:cs="Arial" w:ascii="Arial" w:hAnsi="Arial"/>
          <w:b/>
          <w:bCs/>
        </w:rPr>
        <w:t>:</w:t>
      </w:r>
      <w:r>
        <w:rPr>
          <w:rFonts w:eastAsia="Arial" w:cs="Arial" w:ascii="Arial" w:hAnsi="Arial"/>
        </w:rPr>
        <w:t xml:space="preserve"> Consulta de costos vigentes para usuarios de alto consumo sin subsidio.</w:t>
      </w:r>
    </w:p>
    <w:p>
      <w:pPr>
        <w:pStyle w:val="normal1"/>
        <w:numPr>
          <w:ilvl w:val="0"/>
          <w:numId w:val="2"/>
        </w:numPr>
        <w:spacing w:lineRule="auto" w:line="276" w:before="0" w:afterAutospacing="0" w:after="0"/>
        <w:ind w:hanging="360" w:start="720"/>
        <w:rPr/>
      </w:pPr>
      <w:hyperlink r:id="rId3">
        <w:r>
          <w:rPr>
            <w:rStyle w:val="Style3"/>
            <w:rFonts w:eastAsia="Arial" w:cs="Arial" w:ascii="Arial" w:hAnsi="Arial"/>
            <w:b/>
            <w:bCs/>
            <w:color w:val="1155CC"/>
            <w:u w:val="single"/>
          </w:rPr>
          <w:t>Esquema de Tarifas Vigentes - CFE</w:t>
        </w:r>
      </w:hyperlink>
      <w:r>
        <w:rPr>
          <w:rFonts w:eastAsia="Arial" w:cs="Arial" w:ascii="Arial" w:hAnsi="Arial"/>
          <w:b/>
          <w:bCs/>
        </w:rPr>
        <w:t>:</w:t>
      </w:r>
      <w:r>
        <w:rPr>
          <w:rFonts w:eastAsia="Arial" w:cs="Arial" w:ascii="Arial" w:hAnsi="Arial"/>
        </w:rPr>
        <w:t xml:space="preserve"> Factores de ajuste mensuales dictados por la Secretaría de Hacienda.</w:t>
      </w:r>
    </w:p>
    <w:p>
      <w:pPr>
        <w:pStyle w:val="normal1"/>
        <w:numPr>
          <w:ilvl w:val="0"/>
          <w:numId w:val="2"/>
        </w:numPr>
        <w:spacing w:lineRule="auto" w:line="276" w:before="0" w:after="240"/>
        <w:ind w:hanging="360" w:start="720"/>
        <w:rPr/>
      </w:pPr>
      <w:hyperlink r:id="rId4">
        <w:r>
          <w:rPr>
            <w:rStyle w:val="Style3"/>
            <w:rFonts w:eastAsia="Arial" w:cs="Arial" w:ascii="Arial" w:hAnsi="Arial"/>
            <w:b/>
            <w:bCs/>
            <w:color w:val="1155CC"/>
            <w:u w:val="single"/>
          </w:rPr>
          <w:t>Reglamento de Tarifas Domésticas</w:t>
        </w:r>
      </w:hyperlink>
      <w:r>
        <w:rPr>
          <w:rFonts w:eastAsia="Arial" w:cs="Arial" w:ascii="Arial" w:hAnsi="Arial"/>
          <w:b/>
          <w:bCs/>
        </w:rPr>
        <w:t>:</w:t>
      </w:r>
      <w:r>
        <w:rPr>
          <w:rFonts w:eastAsia="Arial" w:cs="Arial" w:ascii="Arial" w:hAnsi="Arial"/>
        </w:rPr>
        <w:t xml:space="preserve"> Explicación del límite de los 250\ kWh para la Tarifa 1 (CDMX).</w:t>
      </w:r>
    </w:p>
    <w:p>
      <w:pPr>
        <w:pStyle w:val="normal1"/>
        <w:spacing w:lineRule="auto" w:line="276" w:before="0" w:after="140"/>
        <w:rPr>
          <w:rFonts w:ascii="Arial" w:hAnsi="Arial" w:eastAsia="Arial" w:cs="Arial"/>
        </w:rPr>
      </w:pPr>
      <w:r>
        <w:rPr/>
        <mc:AlternateContent>
          <mc:Choice Requires="wps">
            <w:drawing>
              <wp:inline distT="0" distB="0" distL="0" distR="0">
                <wp:extent cx="6332220" cy="19050"/>
                <wp:effectExtent l="0" t="0" r="0" b="88900"/>
                <wp:docPr id="9" name=""/>
                <a:graphic xmlns:a="http://schemas.openxmlformats.org/drawingml/2006/main">
                  <a:graphicData uri="http://schemas.microsoft.com/office/word/2010/wordprocessingShape">
                    <wps:wsp>
                      <wps:cNvSpPr/>
                      <wps:nvSpPr>
                        <wps:cNvPr id="10"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8.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spacing w:lineRule="auto" w:line="276" w:before="0" w:after="80"/>
        <w:rPr>
          <w:rFonts w:ascii="Arial" w:hAnsi="Arial" w:eastAsia="Arial" w:cs="Arial"/>
          <w:sz w:val="26"/>
          <w:szCs w:val="26"/>
        </w:rPr>
      </w:pPr>
      <w:bookmarkStart w:id="10" w:name="_heading=h.kup6gdf9nj5g"/>
      <w:bookmarkEnd w:id="10"/>
      <w:r>
        <w:rPr>
          <w:rFonts w:eastAsia="Arial" w:cs="Arial" w:ascii="Arial" w:hAnsi="Arial"/>
          <w:sz w:val="26"/>
          <w:szCs w:val="26"/>
        </w:rPr>
        <w:t>Nota de Beneficio Operativo</w:t>
      </w:r>
    </w:p>
    <w:p>
      <w:pPr>
        <w:pStyle w:val="normal1"/>
        <w:spacing w:lineRule="auto" w:line="276" w:before="0" w:after="240"/>
        <w:rPr/>
      </w:pPr>
      <w:r>
        <w:rPr>
          <w:rFonts w:eastAsia="Arial" w:cs="Arial" w:ascii="Arial" w:hAnsi="Arial"/>
        </w:rPr>
        <w:t xml:space="preserve">Mientras el recibo de luz se mantenga por debajo del límite DAC (Tarifa 1), la diferencia entre el costo cobrado ($8.00) y el costo pagado (aprox $4.00) no se considerará utilidad neta, sino que se integrará al </w:t>
      </w:r>
      <w:r>
        <w:rPr>
          <w:rFonts w:eastAsia="Arial" w:cs="Arial" w:ascii="Arial" w:hAnsi="Arial"/>
          <w:b/>
          <w:bCs/>
        </w:rPr>
        <w:t>Fondo de Mantenimiento Preventivo</w:t>
      </w:r>
      <w:r>
        <w:rPr>
          <w:rFonts w:eastAsia="Arial" w:cs="Arial" w:ascii="Arial" w:hAnsi="Arial"/>
        </w:rPr>
        <w:t xml:space="preserve"> para la reposición de consumibles (nozzles, PEI sheets y lubricantes).</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 xml:space="preserve">🧠 </w:t>
      </w:r>
      <w:r>
        <w:rPr/>
        <w:t>MODELO COMPLETO DE COSTEO PARA IMPRESIÓN 3D</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1️⃣ VARIABLES DE ENTRADA (INPUTS)</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Estas son las celdas que tú modificarás según el trabajo.</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2"/>
        <w:rPr/>
      </w:pPr>
      <w:r>
        <w:rPr/>
        <w:t xml:space="preserve">🔹 </w:t>
      </w:r>
      <w:r>
        <w:rPr/>
        <w:t>A. Datos de impresión</w:t>
      </w:r>
    </w:p>
    <w:tbl>
      <w:tblPr>
        <w:tblStyle w:val="Table3"/>
        <w:tblW w:w="6174" w:type="dxa"/>
        <w:jc w:val="start"/>
        <w:tblInd w:w="0" w:type="dxa"/>
        <w:tblLayout w:type="fixed"/>
        <w:tblCellMar>
          <w:top w:w="0" w:type="dxa"/>
          <w:start w:w="108" w:type="dxa"/>
          <w:bottom w:w="0" w:type="dxa"/>
          <w:end w:w="108" w:type="dxa"/>
        </w:tblCellMar>
        <w:tblLook w:val="0000"/>
      </w:tblPr>
      <w:tblGrid>
        <w:gridCol w:w="2281"/>
        <w:gridCol w:w="3893"/>
      </w:tblGrid>
      <w:tr>
        <w:trPr>
          <w:tblHeader w:val="true"/>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Variable</w:t>
            </w:r>
          </w:p>
        </w:tc>
        <w:tc>
          <w:tcPr>
            <w:tcW w:w="3893"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Descripción</w:t>
            </w:r>
          </w:p>
        </w:tc>
      </w:tr>
      <w:tr>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PESO_G</w:t>
            </w:r>
          </w:p>
        </w:tc>
        <w:tc>
          <w:tcPr>
            <w:tcW w:w="3893"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Peso del modelo en gramos</w:t>
            </w:r>
          </w:p>
        </w:tc>
      </w:tr>
      <w:tr>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HORAS_BASE</w:t>
            </w:r>
          </w:p>
        </w:tc>
        <w:tc>
          <w:tcPr>
            <w:tcW w:w="3893"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Tiempo estimado del slicer (horas)</w:t>
            </w:r>
          </w:p>
        </w:tc>
      </w:tr>
      <w:tr>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FACTOR_ALTURA</w:t>
            </w:r>
          </w:p>
        </w:tc>
        <w:tc>
          <w:tcPr>
            <w:tcW w:w="3893"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Multiplicador por altura de capa</w:t>
            </w:r>
          </w:p>
        </w:tc>
      </w:tr>
      <w:tr>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FACTOR_BOQUILLA</w:t>
            </w:r>
          </w:p>
        </w:tc>
        <w:tc>
          <w:tcPr>
            <w:tcW w:w="3893"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Multiplicador por diámetro de boquilla</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2"/>
        <w:rPr/>
      </w:pPr>
      <w:r>
        <w:rPr/>
        <w:t xml:space="preserve">🔹 </w:t>
      </w:r>
      <w:r>
        <w:rPr/>
        <w:t>B. Costos base</w:t>
      </w:r>
    </w:p>
    <w:tbl>
      <w:tblPr>
        <w:tblStyle w:val="Table4"/>
        <w:tblW w:w="5663" w:type="dxa"/>
        <w:jc w:val="start"/>
        <w:tblInd w:w="0" w:type="dxa"/>
        <w:tblLayout w:type="fixed"/>
        <w:tblCellMar>
          <w:top w:w="0" w:type="dxa"/>
          <w:start w:w="108" w:type="dxa"/>
          <w:bottom w:w="0" w:type="dxa"/>
          <w:end w:w="108" w:type="dxa"/>
        </w:tblCellMar>
        <w:tblLook w:val="0000"/>
      </w:tblPr>
      <w:tblGrid>
        <w:gridCol w:w="2568"/>
        <w:gridCol w:w="3095"/>
      </w:tblGrid>
      <w:tr>
        <w:trPr>
          <w:tblHeader w:val="true"/>
        </w:trPr>
        <w:tc>
          <w:tcPr>
            <w:tcW w:w="2568"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Variable</w:t>
            </w:r>
          </w:p>
        </w:tc>
        <w:tc>
          <w:tcPr>
            <w:tcW w:w="3095"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Descripción</w:t>
            </w:r>
          </w:p>
        </w:tc>
      </w:tr>
      <w:tr>
        <w:trPr/>
        <w:tc>
          <w:tcPr>
            <w:tcW w:w="256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COSTO_MATERIAL_GR</w:t>
            </w:r>
          </w:p>
        </w:tc>
        <w:tc>
          <w:tcPr>
            <w:tcW w:w="3095"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Costo del filamento por gramo</w:t>
            </w:r>
          </w:p>
        </w:tc>
      </w:tr>
      <w:tr>
        <w:trPr/>
        <w:tc>
          <w:tcPr>
            <w:tcW w:w="256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COSTO_ENERGIA_H</w:t>
            </w:r>
          </w:p>
        </w:tc>
        <w:tc>
          <w:tcPr>
            <w:tcW w:w="3095"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Costo eléctrico por hora</w:t>
            </w:r>
          </w:p>
        </w:tc>
      </w:tr>
      <w:tr>
        <w:trPr/>
        <w:tc>
          <w:tcPr>
            <w:tcW w:w="256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DESGASTE_H</w:t>
            </w:r>
          </w:p>
        </w:tc>
        <w:tc>
          <w:tcPr>
            <w:tcW w:w="3095"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Desgaste de máquina por hora</w:t>
            </w:r>
          </w:p>
        </w:tc>
      </w:tr>
      <w:tr>
        <w:trPr/>
        <w:tc>
          <w:tcPr>
            <w:tcW w:w="256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MANO_OBRA</w:t>
            </w:r>
          </w:p>
        </w:tc>
        <w:tc>
          <w:tcPr>
            <w:tcW w:w="3095"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Costo fijo por pedido</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2"/>
        <w:rPr/>
      </w:pPr>
      <w:r>
        <w:rPr/>
        <w:t xml:space="preserve">🔹 </w:t>
      </w:r>
      <w:r>
        <w:rPr/>
        <w:t>C. Factores de riesgo</w:t>
      </w:r>
    </w:p>
    <w:tbl>
      <w:tblPr>
        <w:tblStyle w:val="Table5"/>
        <w:tblW w:w="4796" w:type="dxa"/>
        <w:jc w:val="start"/>
        <w:tblInd w:w="0" w:type="dxa"/>
        <w:tblLayout w:type="fixed"/>
        <w:tblCellMar>
          <w:top w:w="0" w:type="dxa"/>
          <w:start w:w="108" w:type="dxa"/>
          <w:bottom w:w="0" w:type="dxa"/>
          <w:end w:w="108" w:type="dxa"/>
        </w:tblCellMar>
        <w:tblLook w:val="0000"/>
      </w:tblPr>
      <w:tblGrid>
        <w:gridCol w:w="2280"/>
        <w:gridCol w:w="2516"/>
      </w:tblGrid>
      <w:tr>
        <w:trPr>
          <w:tblHeader w:val="true"/>
        </w:trPr>
        <w:tc>
          <w:tcPr>
            <w:tcW w:w="2280"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Variable</w:t>
            </w:r>
          </w:p>
        </w:tc>
        <w:tc>
          <w:tcPr>
            <w:tcW w:w="2516"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Descripción</w:t>
            </w:r>
          </w:p>
        </w:tc>
      </w:tr>
      <w:tr>
        <w:trPr/>
        <w:tc>
          <w:tcPr>
            <w:tcW w:w="228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RIESGO_MATERIAL</w:t>
            </w:r>
          </w:p>
        </w:tc>
        <w:tc>
          <w:tcPr>
            <w:tcW w:w="2516"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Riesgo según filamento</w:t>
            </w:r>
          </w:p>
        </w:tc>
      </w:tr>
      <w:tr>
        <w:trPr/>
        <w:tc>
          <w:tcPr>
            <w:tcW w:w="228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RIESGO_MODELO</w:t>
            </w:r>
          </w:p>
        </w:tc>
        <w:tc>
          <w:tcPr>
            <w:tcW w:w="2516"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Modelo nuevo / probado</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2"/>
        <w:rPr/>
      </w:pPr>
      <w:r>
        <w:rPr/>
        <w:t xml:space="preserve">🔹 </w:t>
      </w:r>
      <w:r>
        <w:rPr/>
        <w:t>D. Capacidad productiva</w:t>
      </w:r>
    </w:p>
    <w:tbl>
      <w:tblPr>
        <w:tblStyle w:val="Table6"/>
        <w:tblW w:w="4889" w:type="dxa"/>
        <w:jc w:val="start"/>
        <w:tblInd w:w="0" w:type="dxa"/>
        <w:tblLayout w:type="fixed"/>
        <w:tblCellMar>
          <w:top w:w="0" w:type="dxa"/>
          <w:start w:w="108" w:type="dxa"/>
          <w:bottom w:w="0" w:type="dxa"/>
          <w:end w:w="108" w:type="dxa"/>
        </w:tblCellMar>
        <w:tblLook w:val="0000"/>
      </w:tblPr>
      <w:tblGrid>
        <w:gridCol w:w="2281"/>
        <w:gridCol w:w="2608"/>
      </w:tblGrid>
      <w:tr>
        <w:trPr>
          <w:tblHeader w:val="true"/>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Variable</w:t>
            </w:r>
          </w:p>
        </w:tc>
        <w:tc>
          <w:tcPr>
            <w:tcW w:w="2608"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Descripción</w:t>
            </w:r>
          </w:p>
        </w:tc>
      </w:tr>
      <w:tr>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NUM_IMPRESORAS</w:t>
            </w:r>
          </w:p>
        </w:tc>
        <w:tc>
          <w:tcPr>
            <w:tcW w:w="260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Impresoras operativas</w:t>
            </w:r>
          </w:p>
        </w:tc>
      </w:tr>
      <w:tr>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HORAS_DIA</w:t>
            </w:r>
          </w:p>
        </w:tc>
        <w:tc>
          <w:tcPr>
            <w:tcW w:w="260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Horas disponibles por día</w:t>
            </w:r>
          </w:p>
        </w:tc>
      </w:tr>
      <w:tr>
        <w:trPr/>
        <w:tc>
          <w:tcPr>
            <w:tcW w:w="228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UTILIDAD_DIARIA</w:t>
            </w:r>
          </w:p>
        </w:tc>
        <w:tc>
          <w:tcPr>
            <w:tcW w:w="260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Utilidad deseada diaria</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2"/>
        <w:rPr/>
      </w:pPr>
      <w:r>
        <w:rPr/>
        <w:t xml:space="preserve">🔹 </w:t>
      </w:r>
      <w:r>
        <w:rPr/>
        <w:t>E. Comercial</w:t>
      </w:r>
    </w:p>
    <w:tbl>
      <w:tblPr>
        <w:tblStyle w:val="Table7"/>
        <w:tblW w:w="5204" w:type="dxa"/>
        <w:jc w:val="start"/>
        <w:tblInd w:w="0" w:type="dxa"/>
        <w:tblLayout w:type="fixed"/>
        <w:tblCellMar>
          <w:top w:w="0" w:type="dxa"/>
          <w:start w:w="108" w:type="dxa"/>
          <w:bottom w:w="0" w:type="dxa"/>
          <w:end w:w="108" w:type="dxa"/>
        </w:tblCellMar>
        <w:tblLook w:val="0000"/>
      </w:tblPr>
      <w:tblGrid>
        <w:gridCol w:w="2425"/>
        <w:gridCol w:w="2779"/>
      </w:tblGrid>
      <w:tr>
        <w:trPr>
          <w:tblHeader w:val="true"/>
        </w:trPr>
        <w:tc>
          <w:tcPr>
            <w:tcW w:w="2425"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Variable</w:t>
            </w:r>
          </w:p>
        </w:tc>
        <w:tc>
          <w:tcPr>
            <w:tcW w:w="2779"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Descripción</w:t>
            </w:r>
          </w:p>
        </w:tc>
      </w:tr>
      <w:tr>
        <w:trPr/>
        <w:tc>
          <w:tcPr>
            <w:tcW w:w="2425"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4"/>
                <w:szCs w:val="24"/>
                <w:u w:val="none"/>
                <w:shd w:fill="auto" w:val="clear"/>
                <w:vertAlign w:val="baseline"/>
              </w:rPr>
              <w:t>MARGEN_COMERCIAL</w:t>
            </w:r>
          </w:p>
        </w:tc>
        <w:tc>
          <w:tcPr>
            <w:tcW w:w="277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Margen % (ej. 0.40 = 40%)</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2️⃣ FACTORES RECOMENDADOS</w:t>
      </w:r>
    </w:p>
    <w:p>
      <w:pPr>
        <w:pStyle w:val="Heading3"/>
        <w:rPr/>
      </w:pPr>
      <w:r>
        <w:rPr/>
        <w:t>Altura de capa</w:t>
      </w:r>
    </w:p>
    <w:tbl>
      <w:tblPr>
        <w:tblStyle w:val="Table8"/>
        <w:tblW w:w="1629" w:type="dxa"/>
        <w:jc w:val="start"/>
        <w:tblInd w:w="0" w:type="dxa"/>
        <w:tblLayout w:type="fixed"/>
        <w:tblCellMar>
          <w:top w:w="0" w:type="dxa"/>
          <w:start w:w="108" w:type="dxa"/>
          <w:bottom w:w="0" w:type="dxa"/>
          <w:end w:w="108" w:type="dxa"/>
        </w:tblCellMar>
        <w:tblLook w:val="0000"/>
      </w:tblPr>
      <w:tblGrid>
        <w:gridCol w:w="800"/>
        <w:gridCol w:w="829"/>
      </w:tblGrid>
      <w:tr>
        <w:trPr>
          <w:tblHeader w:val="true"/>
        </w:trPr>
        <w:tc>
          <w:tcPr>
            <w:tcW w:w="800"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Altura</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Factor</w:t>
            </w:r>
          </w:p>
        </w:tc>
      </w:tr>
      <w:tr>
        <w:trPr/>
        <w:tc>
          <w:tcPr>
            <w:tcW w:w="80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0.32</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0.85</w:t>
            </w:r>
          </w:p>
        </w:tc>
      </w:tr>
      <w:tr>
        <w:trPr/>
        <w:tc>
          <w:tcPr>
            <w:tcW w:w="80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0.28</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0.95</w:t>
            </w:r>
          </w:p>
        </w:tc>
      </w:tr>
      <w:tr>
        <w:trPr/>
        <w:tc>
          <w:tcPr>
            <w:tcW w:w="80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0.24</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1.00</w:t>
            </w:r>
          </w:p>
        </w:tc>
      </w:tr>
      <w:tr>
        <w:trPr/>
        <w:tc>
          <w:tcPr>
            <w:tcW w:w="80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0.20</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1.20</w:t>
            </w:r>
          </w:p>
        </w:tc>
      </w:tr>
      <w:tr>
        <w:trPr/>
        <w:tc>
          <w:tcPr>
            <w:tcW w:w="80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0.16</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1.45</w:t>
            </w:r>
          </w:p>
        </w:tc>
      </w:tr>
      <w:tr>
        <w:trPr/>
        <w:tc>
          <w:tcPr>
            <w:tcW w:w="800"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0.12</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1.80</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Boquilla</w:t>
      </w:r>
    </w:p>
    <w:tbl>
      <w:tblPr>
        <w:tblStyle w:val="Table9"/>
        <w:tblW w:w="1817" w:type="dxa"/>
        <w:jc w:val="start"/>
        <w:tblInd w:w="0" w:type="dxa"/>
        <w:tblLayout w:type="fixed"/>
        <w:tblCellMar>
          <w:top w:w="0" w:type="dxa"/>
          <w:start w:w="108" w:type="dxa"/>
          <w:bottom w:w="0" w:type="dxa"/>
          <w:end w:w="108" w:type="dxa"/>
        </w:tblCellMar>
        <w:tblLook w:val="0000"/>
      </w:tblPr>
      <w:tblGrid>
        <w:gridCol w:w="988"/>
        <w:gridCol w:w="829"/>
      </w:tblGrid>
      <w:tr>
        <w:trPr>
          <w:tblHeader w:val="true"/>
        </w:trPr>
        <w:tc>
          <w:tcPr>
            <w:tcW w:w="988"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Boquilla</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Factor</w:t>
            </w:r>
          </w:p>
        </w:tc>
      </w:tr>
      <w:tr>
        <w:trPr/>
        <w:tc>
          <w:tcPr>
            <w:tcW w:w="98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0.6 mm</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0.9</w:t>
            </w:r>
          </w:p>
        </w:tc>
      </w:tr>
      <w:tr>
        <w:trPr/>
        <w:tc>
          <w:tcPr>
            <w:tcW w:w="98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0.4 mm</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1.0</w:t>
            </w:r>
          </w:p>
        </w:tc>
      </w:tr>
      <w:tr>
        <w:trPr/>
        <w:tc>
          <w:tcPr>
            <w:tcW w:w="98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0.2 mm</w:t>
            </w:r>
          </w:p>
        </w:tc>
        <w:tc>
          <w:tcPr>
            <w:tcW w:w="829"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1.5</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Material (riesgo)</w:t>
      </w:r>
    </w:p>
    <w:tbl>
      <w:tblPr>
        <w:tblStyle w:val="Table10"/>
        <w:tblW w:w="1842" w:type="dxa"/>
        <w:jc w:val="start"/>
        <w:tblInd w:w="0" w:type="dxa"/>
        <w:tblLayout w:type="fixed"/>
        <w:tblCellMar>
          <w:top w:w="0" w:type="dxa"/>
          <w:start w:w="108" w:type="dxa"/>
          <w:bottom w:w="0" w:type="dxa"/>
          <w:end w:w="108" w:type="dxa"/>
        </w:tblCellMar>
        <w:tblLook w:val="0000"/>
      </w:tblPr>
      <w:tblGrid>
        <w:gridCol w:w="1011"/>
        <w:gridCol w:w="831"/>
      </w:tblGrid>
      <w:tr>
        <w:trPr>
          <w:tblHeader w:val="true"/>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Material</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Riesgo</w:t>
            </w:r>
          </w:p>
        </w:tc>
      </w:tr>
      <w:tr>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PLA</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1.0</w:t>
            </w:r>
          </w:p>
        </w:tc>
      </w:tr>
      <w:tr>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PLA+</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1.1</w:t>
            </w:r>
          </w:p>
        </w:tc>
      </w:tr>
      <w:tr>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PETG</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1.2</w:t>
            </w:r>
          </w:p>
        </w:tc>
      </w:tr>
      <w:tr>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ABS</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1.4</w:t>
            </w:r>
          </w:p>
        </w:tc>
      </w:tr>
      <w:tr>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ASA</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1.4</w:t>
            </w:r>
          </w:p>
        </w:tc>
      </w:tr>
      <w:tr>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TPU</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1.5</w:t>
            </w:r>
          </w:p>
        </w:tc>
      </w:tr>
      <w:tr>
        <w:trPr/>
        <w:tc>
          <w:tcPr>
            <w:tcW w:w="101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Nylon</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1.7</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Riesgo por modelo</w:t>
      </w:r>
    </w:p>
    <w:tbl>
      <w:tblPr>
        <w:tblStyle w:val="Table11"/>
        <w:tblW w:w="1749" w:type="dxa"/>
        <w:jc w:val="start"/>
        <w:tblInd w:w="0" w:type="dxa"/>
        <w:tblLayout w:type="fixed"/>
        <w:tblCellMar>
          <w:top w:w="0" w:type="dxa"/>
          <w:start w:w="108" w:type="dxa"/>
          <w:bottom w:w="0" w:type="dxa"/>
          <w:end w:w="108" w:type="dxa"/>
        </w:tblCellMar>
        <w:tblLook w:val="0000"/>
      </w:tblPr>
      <w:tblGrid>
        <w:gridCol w:w="918"/>
        <w:gridCol w:w="831"/>
      </w:tblGrid>
      <w:tr>
        <w:trPr>
          <w:tblHeader w:val="true"/>
        </w:trPr>
        <w:tc>
          <w:tcPr>
            <w:tcW w:w="918"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Tipo</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center"/>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Factor</w:t>
            </w:r>
          </w:p>
        </w:tc>
      </w:tr>
      <w:tr>
        <w:trPr/>
        <w:tc>
          <w:tcPr>
            <w:tcW w:w="91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Probado</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1.15</w:t>
            </w:r>
          </w:p>
        </w:tc>
      </w:tr>
      <w:tr>
        <w:trPr/>
        <w:tc>
          <w:tcPr>
            <w:tcW w:w="918"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Nuevo</w:t>
            </w:r>
          </w:p>
        </w:tc>
        <w:tc>
          <w:tcPr>
            <w:tcW w:w="831" w:type="dxa"/>
            <w:tcBorders/>
            <w:vAlign w:val="center"/>
          </w:tcPr>
          <w:p>
            <w:pPr>
              <w:pStyle w:val="normal1"/>
              <w:keepNext w:val="false"/>
              <w:keepLines w:val="false"/>
              <w:widowControl w:val="false"/>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1.30</w:t>
            </w:r>
          </w:p>
        </w:tc>
      </w:tr>
    </w:tbl>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3️⃣ CÁLCULOS BASE (OBLIGATORIOS)</w:t>
      </w:r>
    </w:p>
    <w:p>
      <w:pPr>
        <w:pStyle w:val="Heading3"/>
        <w:rPr/>
      </w:pPr>
      <w:r>
        <w:rPr/>
        <w:t>1. Tiempo efectivo de impresión</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TIEMPO_EFECTIVO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HORAS_BASE × FACTOR_ALTURA × FACTOR_BOQUILLA</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2. Costo de máquina</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COSTO_MAQUINA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TIEMPO_EFECTIVO × (COSTO_ENERGIA_H + (DESGASTE_H × FACTOR_ALTURA × FACTOR_BOQUILLA))</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3. Costo de material</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COSTO_MATERIAL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PESO_G × COSTO_MATERIAL_GR</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4. Subtotal base</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SUBTOTAL_BASE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COSTO_MAQUINA + COSTO_MATERIAL + MANO_OBRA</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5. Factor de riesgo total</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FACTOR_RIESGO_TOTAL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RIESGO_MATERIAL × RIESGO_MODELO</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6. Costo ajustado por riesgo</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COSTO_CON_RIESGO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SUBTOTAL_BASE × FACTOR_RIESGO_TOTAL</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4️⃣ MODO COMERCIAL (por margen)</w:t>
      </w:r>
    </w:p>
    <w:p>
      <w:pPr>
        <w:pStyle w:val="Heading3"/>
        <w:rPr/>
      </w:pPr>
      <w:r>
        <w:rPr/>
        <w:t>Fórmula:</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PRECIO_COMERCIAL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COSTO_CON_RIESGO × (1 + MARGEN_COMERCIAL)</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5️⃣ MODO PRODUCTIVO (por capacidad)</w:t>
      </w:r>
    </w:p>
    <w:p>
      <w:pPr>
        <w:pStyle w:val="Heading3"/>
        <w:rPr/>
      </w:pPr>
      <w:r>
        <w:rPr/>
        <w:t>1. Horas productivas totales</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HORAS_TOTALES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NUM_IMPRESORAS × HORAS_DIA</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2. Utilidad por hora deseada</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UTILIDAD_HORA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UTILIDAD_DIARIA / HORAS_TOTALES</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3. Utilidad generada por el pedido</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UTILIDAD_PEDIDO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TIEMPO_EFECTIVO × UTILIDAD_HORA</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3"/>
        <w:rPr/>
      </w:pPr>
      <w:r>
        <w:rPr/>
        <w:t>4. Precio final productivo</w:t>
      </w:r>
    </w:p>
    <w:p>
      <w:pPr>
        <w:pStyle w:val="normal1"/>
        <w:keepNext w:val="false"/>
        <w:keepLines w:val="false"/>
        <w:pageBreakBefore w:val="false"/>
        <w:widowControl/>
        <w:pBdr/>
        <w:shd w:val="clear" w:fill="auto"/>
        <w:spacing w:lineRule="auto" w:line="240" w:before="0" w:after="0"/>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PRECIO_PRODUCTIVO =</w:t>
      </w:r>
    </w:p>
    <w:p>
      <w:pPr>
        <w:pStyle w:val="normal1"/>
        <w:keepNext w:val="false"/>
        <w:keepLines w:val="false"/>
        <w:pageBreakBefore w:val="false"/>
        <w:widowControl/>
        <w:pBdr/>
        <w:shd w:val="clear" w:fill="auto"/>
        <w:spacing w:lineRule="auto" w:line="240" w:before="0" w:after="283"/>
        <w:ind w:hanging="0" w:start="0" w:end="0"/>
        <w:jc w:val="start"/>
        <w:rPr>
          <w:rFonts w:ascii="Liberation Mono" w:hAnsi="Liberation Mono" w:eastAsia="Liberation Mono" w:cs="Liberation Mono"/>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0"/>
          <w:szCs w:val="20"/>
          <w:u w:val="none"/>
          <w:shd w:fill="auto" w:val="clear"/>
          <w:vertAlign w:val="baseline"/>
        </w:rPr>
        <w:t>COSTO_CON_RIESGO + UTILIDAD_PEDIDO</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7️⃣ RESUMEN LÓGICO DEL SISTEMA</w:t>
      </w:r>
    </w:p>
    <w:p>
      <w:pPr>
        <w:pStyle w:val="normal1"/>
        <w:keepNext w:val="false"/>
        <w:keepLines w:val="false"/>
        <w:pageBreakBefore w:val="false"/>
        <w:widowControl/>
        <w:numPr>
          <w:ilvl w:val="0"/>
          <w:numId w:val="6"/>
        </w:numPr>
        <w:pBdr/>
        <w:shd w:val="clear" w:fill="auto"/>
        <w:tabs>
          <w:tab w:val="clear" w:pos="720"/>
          <w:tab w:val="left" w:pos="709"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Calculas el costo real</w:t>
      </w:r>
    </w:p>
    <w:p>
      <w:pPr>
        <w:pStyle w:val="normal1"/>
        <w:keepNext w:val="false"/>
        <w:keepLines w:val="false"/>
        <w:pageBreakBefore w:val="false"/>
        <w:widowControl/>
        <w:numPr>
          <w:ilvl w:val="0"/>
          <w:numId w:val="6"/>
        </w:numPr>
        <w:pBdr/>
        <w:shd w:val="clear" w:fill="auto"/>
        <w:tabs>
          <w:tab w:val="clear" w:pos="720"/>
          <w:tab w:val="left" w:pos="709"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Ajustas por riesgo técnico</w:t>
      </w:r>
    </w:p>
    <w:p>
      <w:pPr>
        <w:pStyle w:val="normal1"/>
        <w:keepNext w:val="false"/>
        <w:keepLines w:val="false"/>
        <w:pageBreakBefore w:val="false"/>
        <w:widowControl/>
        <w:numPr>
          <w:ilvl w:val="0"/>
          <w:numId w:val="6"/>
        </w:numPr>
        <w:pBdr/>
        <w:shd w:val="clear" w:fill="auto"/>
        <w:tabs>
          <w:tab w:val="clear" w:pos="720"/>
          <w:tab w:val="left" w:pos="709"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Calculas dos precios:</w:t>
      </w:r>
    </w:p>
    <w:p>
      <w:pPr>
        <w:pStyle w:val="normal1"/>
        <w:keepNext w:val="false"/>
        <w:keepLines w:val="false"/>
        <w:pageBreakBefore w:val="false"/>
        <w:widowControl/>
        <w:numPr>
          <w:ilvl w:val="1"/>
          <w:numId w:val="6"/>
        </w:numPr>
        <w:pBdr/>
        <w:shd w:val="clear" w:fill="auto"/>
        <w:tabs>
          <w:tab w:val="clear" w:pos="720"/>
          <w:tab w:val="left" w:pos="1418" w:leader="none"/>
        </w:tabs>
        <w:spacing w:lineRule="auto" w:line="276" w:before="0" w:after="140"/>
        <w:ind w:hanging="283" w:start="1418"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Uno por mercado </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(comercial)</w:t>
      </w:r>
    </w:p>
    <w:p>
      <w:pPr>
        <w:pStyle w:val="normal1"/>
        <w:keepNext w:val="false"/>
        <w:keepLines w:val="false"/>
        <w:pageBreakBefore w:val="false"/>
        <w:widowControl/>
        <w:numPr>
          <w:ilvl w:val="1"/>
          <w:numId w:val="6"/>
        </w:numPr>
        <w:pBdr/>
        <w:shd w:val="clear" w:fill="auto"/>
        <w:tabs>
          <w:tab w:val="clear" w:pos="720"/>
          <w:tab w:val="left" w:pos="1418" w:leader="none"/>
        </w:tabs>
        <w:spacing w:lineRule="auto" w:line="276" w:before="0" w:after="140"/>
        <w:ind w:hanging="283" w:start="1418"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Uno por capacidad productiva</w:t>
      </w:r>
    </w:p>
    <w:p>
      <w:pPr>
        <w:pStyle w:val="normal1"/>
        <w:keepNext w:val="false"/>
        <w:keepLines w:val="false"/>
        <w:pageBreakBefore w:val="false"/>
        <w:widowControl/>
        <w:numPr>
          <w:ilvl w:val="0"/>
          <w:numId w:val="6"/>
        </w:numPr>
        <w:pBdr/>
        <w:shd w:val="clear" w:fill="auto"/>
        <w:tabs>
          <w:tab w:val="clear" w:pos="720"/>
          <w:tab w:val="left" w:pos="709"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Garantizas rentabilidad + sostenibilidad</w:t>
      </w:r>
    </w:p>
    <w:p>
      <w:pPr>
        <w:pStyle w:val="normal1"/>
        <w:keepNext w:val="false"/>
        <w:keepLines w:val="false"/>
        <w:pageBreakBefore w:val="false"/>
        <w:widowControl/>
        <w:pBdr>
          <w:bottom w:val="single" w:sz="4" w:space="0" w:color="808080"/>
        </w:pBdr>
        <w:shd w:val="clear" w:fill="auto"/>
        <w:spacing w:lineRule="auto" w:line="240" w:before="0" w:after="283"/>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Cs w:val="12"/>
          <w:u w:val="none"/>
          <w:shd w:fill="auto" w:val="clear"/>
          <w:vertAlign w:val="baseline"/>
        </w:rPr>
      </w:r>
    </w:p>
    <w:p>
      <w:pPr>
        <w:pStyle w:val="Heading1"/>
        <w:rPr/>
      </w:pPr>
      <w:r>
        <w:rPr/>
        <w:t>8️⃣ CONSEJO FINAL DE OPERACIÓN</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Si algún día:</w:t>
      </w:r>
    </w:p>
    <w:p>
      <w:pPr>
        <w:pStyle w:val="normal1"/>
        <w:keepNext w:val="false"/>
        <w:keepLines w:val="false"/>
        <w:pageBreakBefore w:val="false"/>
        <w:widowControl/>
        <w:numPr>
          <w:ilvl w:val="0"/>
          <w:numId w:val="7"/>
        </w:numPr>
        <w:pBdr/>
        <w:shd w:val="clear" w:fill="auto"/>
        <w:tabs>
          <w:tab w:val="clear" w:pos="720"/>
          <w:tab w:val="left" w:pos="709"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No llegas a tu utilidad diaria → sube precios</w:t>
      </w:r>
    </w:p>
    <w:p>
      <w:pPr>
        <w:pStyle w:val="normal1"/>
        <w:keepNext w:val="false"/>
        <w:keepLines w:val="false"/>
        <w:pageBreakBefore w:val="false"/>
        <w:widowControl/>
        <w:numPr>
          <w:ilvl w:val="0"/>
          <w:numId w:val="7"/>
        </w:numPr>
        <w:pBdr/>
        <w:shd w:val="clear" w:fill="auto"/>
        <w:tabs>
          <w:tab w:val="clear" w:pos="720"/>
          <w:tab w:val="left" w:pos="709"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Tienes cola de pedidos → sube utilidad diaria</w:t>
      </w:r>
    </w:p>
    <w:p>
      <w:pPr>
        <w:pStyle w:val="normal1"/>
        <w:keepNext w:val="false"/>
        <w:keepLines w:val="false"/>
        <w:pageBreakBefore w:val="false"/>
        <w:widowControl/>
        <w:numPr>
          <w:ilvl w:val="0"/>
          <w:numId w:val="7"/>
        </w:numPr>
        <w:pBdr/>
        <w:shd w:val="clear" w:fill="auto"/>
        <w:tabs>
          <w:tab w:val="clear" w:pos="720"/>
          <w:tab w:val="left" w:pos="709"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Tienes huecos de tiempo → acepta pedidos con menor margen</w:t>
      </w:r>
    </w:p>
    <w:p>
      <w:pPr>
        <w:pStyle w:val="normal1"/>
        <w:rPr/>
      </w:pPr>
      <w:r>
        <w:rPr/>
      </w:r>
    </w:p>
    <w:p>
      <w:pPr>
        <w:pStyle w:val="Heading3"/>
        <w:spacing w:lineRule="auto" w:line="240" w:before="0" w:after="283"/>
        <w:rPr>
          <w:sz w:val="24"/>
          <w:szCs w:val="24"/>
        </w:rPr>
      </w:pPr>
      <w:r>
        <w:rPr>
          <w:sz w:val="24"/>
          <w:szCs w:val="24"/>
        </w:rPr>
        <w:t xml:space="preserve">NUEVA REGLA: </w:t>
      </w:r>
      <w:r>
        <w:rPr>
          <w:sz w:val="24"/>
          <w:szCs w:val="24"/>
        </w:rPr>
        <w:t>MODO</w:t>
      </w:r>
      <w:r>
        <w:rPr>
          <w:sz w:val="24"/>
          <w:szCs w:val="24"/>
        </w:rPr>
        <w:t xml:space="preserve"> "CAMA LLENA" (VOLUMEN)</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Definición:</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Se aplica cuando el cliente solicita la cantidad máxima de piezas que el área de impresión de la máquina seleccionada permita procesar en una sola sesión (placa).</w:t>
      </w:r>
    </w:p>
    <w:p>
      <w:pPr>
        <w:pStyle w:val="Heading4"/>
        <w:spacing w:lineRule="auto" w:line="240" w:before="0" w:after="283"/>
        <w:rPr/>
      </w:pPr>
      <w:r>
        <w:rPr/>
        <w:t>1. Estructura de la Comparativa</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Para cada cotización de este tipo, se deberán presentar dos escenarios al cliente:</w:t>
      </w:r>
    </w:p>
    <w:p>
      <w:pPr>
        <w:pStyle w:val="normal1"/>
        <w:keepNext w:val="false"/>
        <w:keepLines w:val="false"/>
        <w:pageBreakBefore w:val="false"/>
        <w:widowControl/>
        <w:numPr>
          <w:ilvl w:val="0"/>
          <w:numId w:val="8"/>
        </w:numPr>
        <w:pBdr/>
        <w:shd w:val="clear" w:fill="auto"/>
        <w:tabs>
          <w:tab w:val="clear" w:pos="720"/>
          <w:tab w:val="left" w:pos="0"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Escenario Individual:</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Precio comercial estándar de 1 pieza (incluye $30 MXN de Mano de Obra por esa única pieza).</w:t>
      </w:r>
    </w:p>
    <w:p>
      <w:pPr>
        <w:pStyle w:val="normal1"/>
        <w:keepNext w:val="false"/>
        <w:keepLines w:val="false"/>
        <w:pageBreakBefore w:val="false"/>
        <w:widowControl/>
        <w:numPr>
          <w:ilvl w:val="0"/>
          <w:numId w:val="8"/>
        </w:numPr>
        <w:pBdr/>
        <w:shd w:val="clear" w:fill="auto"/>
        <w:tabs>
          <w:tab w:val="clear" w:pos="720"/>
          <w:tab w:val="left" w:pos="0"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Escenario "Cama Llena":</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Precio total de la placa completa con un descuento por volumen aplicado sobre la utilidad comercial.</w:t>
      </w:r>
    </w:p>
    <w:p>
      <w:pPr>
        <w:pStyle w:val="Heading4"/>
        <w:spacing w:lineRule="auto" w:line="240" w:before="0" w:after="283"/>
        <w:rPr/>
      </w:pPr>
      <w:r>
        <w:rPr/>
        <w:t>2. Ajustes en las Variables de Costeo</w:t>
      </w:r>
    </w:p>
    <w:p>
      <w:pPr>
        <w:pStyle w:val="normal1"/>
        <w:keepNext w:val="false"/>
        <w:keepLines w:val="false"/>
        <w:pageBreakBefore w:val="false"/>
        <w:widowControl/>
        <w:pBdr/>
        <w:shd w:val="clear" w:fill="auto"/>
        <w:spacing w:lineRule="auto" w:line="276"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Para que la oferta sea atractiva sin perder rentabilidad, se modifican los siguientes puntos en el cálculo:</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A. Dilución de Mano de Obra (MO): En lugar de cobrar $30 MXN por cada pieza, se cobra una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única cuota de $30 MXN por la placa completa</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Esto reduce el costo base por unidad significativamente.</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76" w:before="0" w:after="140"/>
        <w:ind w:hanging="283" w:start="709" w:end="0"/>
        <w:jc w:val="start"/>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B. Ajuste de Margen Comercial:</w:t>
      </w:r>
    </w:p>
    <w:p>
      <w:pPr>
        <w:pStyle w:val="normal1"/>
        <w:keepNext w:val="false"/>
        <w:keepLines w:val="false"/>
        <w:pageBreakBefore w:val="false"/>
        <w:widowControl/>
        <w:numPr>
          <w:ilvl w:val="1"/>
          <w:numId w:val="9"/>
        </w:numPr>
        <w:pBdr/>
        <w:shd w:val="clear" w:fill="auto"/>
        <w:tabs>
          <w:tab w:val="clear" w:pos="720"/>
          <w:tab w:val="left" w:pos="0" w:leader="none"/>
        </w:tabs>
        <w:spacing w:lineRule="auto" w:line="276" w:before="0" w:after="140"/>
        <w:ind w:hanging="283" w:start="1418"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Si el cliente lleva la cama llena, el margen comercial promedio (20%-50%) puede reducirse a un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margen fijo del 20% o 25%</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sobre el costo total con riesgo.</w:t>
      </w:r>
    </w:p>
    <w:p>
      <w:pPr>
        <w:pStyle w:val="normal1"/>
        <w:keepNext w:val="false"/>
        <w:keepLines w:val="false"/>
        <w:pageBreakBefore w:val="false"/>
        <w:widowControl/>
        <w:numPr>
          <w:ilvl w:val="1"/>
          <w:numId w:val="9"/>
        </w:numPr>
        <w:pBdr/>
        <w:shd w:val="clear" w:fill="auto"/>
        <w:tabs>
          <w:tab w:val="clear" w:pos="720"/>
          <w:tab w:val="left" w:pos="0" w:leader="none"/>
        </w:tabs>
        <w:spacing w:lineRule="auto" w:line="276" w:before="0" w:after="140"/>
        <w:ind w:hanging="283" w:start="1418"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iCs/>
          <w:caps w:val="false"/>
          <w:smallCaps w:val="false"/>
          <w:strike w:val="false"/>
          <w:dstrike w:val="false"/>
          <w:color w:val="000000"/>
          <w:position w:val="0"/>
          <w:sz w:val="24"/>
          <w:szCs w:val="24"/>
          <w:u w:val="none"/>
          <w:shd w:fill="auto" w:val="clear"/>
          <w:vertAlign w:val="baseline"/>
        </w:rPr>
        <w:t>Objetivo:</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Priorizar el flujo de clientes y el uso eficiente de la máquina.</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C. Factor de Riesgo: Si el modelo es "Probado", se mantiene en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1.15</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si es "Nuevo", se mantiene en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1.30</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para proteger el material de toda la placa en caso de fallo.</w:t>
      </w:r>
    </w:p>
    <w:p>
      <w:pPr>
        <w:pStyle w:val="Heading4"/>
        <w:spacing w:lineRule="auto" w:line="240" w:before="0" w:after="283"/>
        <w:rPr/>
      </w:pPr>
      <w:r>
        <w:rPr/>
        <w:t>3. Ejemplo de Redacción para el Cliente:</w:t>
      </w:r>
    </w:p>
    <w:p>
      <w:pPr>
        <w:pStyle w:val="normal1"/>
        <w:keepNext w:val="false"/>
        <w:keepLines w:val="false"/>
        <w:pageBreakBefore w:val="false"/>
        <w:widowControl/>
        <w:pBdr/>
        <w:shd w:val="clear" w:fill="auto"/>
        <w:spacing w:lineRule="auto" w:line="240" w:before="0" w:after="283"/>
        <w:ind w:hanging="0" w:start="567" w:end="567"/>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"Aprovecha nuestra tarifa de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Cama Llena</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Al imprimir 1 unidad el costo es de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$X</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pero si llenamos la plataforma con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16 unidades</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el costo por pieza baja a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$Y</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ahorrando un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Z%</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por unidad."</w:t>
      </w:r>
    </w:p>
    <w:p>
      <w:pPr>
        <w:pStyle w:val="normal1"/>
        <w:keepNext w:val="false"/>
        <w:keepLines w:val="false"/>
        <w:pageBreakBefore w:val="false"/>
        <w:widowControl/>
        <w:pBdr>
          <w:bottom w:val="single" w:sz="4" w:space="0" w:color="808080"/>
        </w:pBdr>
        <w:shd w:val="clear" w:fill="auto"/>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spacing w:lineRule="auto" w:line="240" w:before="0" w:after="283"/>
        <w:rPr>
          <w:sz w:val="24"/>
          <w:szCs w:val="24"/>
        </w:rPr>
      </w:pPr>
      <w:r>
        <w:rPr>
          <w:sz w:val="24"/>
          <w:szCs w:val="24"/>
        </w:rPr>
        <w:t xml:space="preserve">💡 </w:t>
      </w:r>
      <w:r>
        <w:rPr>
          <w:sz w:val="24"/>
          <w:szCs w:val="24"/>
        </w:rPr>
        <w:t>Justificación Técnica para tu Documento:</w:t>
      </w:r>
    </w:p>
    <w:p>
      <w:pPr>
        <w:pStyle w:val="normal1"/>
        <w:keepNext w:val="false"/>
        <w:keepLines w:val="false"/>
        <w:pageBreakBefore w:val="false"/>
        <w:widowControl/>
        <w:numPr>
          <w:ilvl w:val="0"/>
          <w:numId w:val="10"/>
        </w:numPr>
        <w:pBdr/>
        <w:shd w:val="clear" w:fill="auto"/>
        <w:tabs>
          <w:tab w:val="clear" w:pos="720"/>
          <w:tab w:val="left" w:pos="0"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Eficiencia de Tiempo:</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La impresora tarda menos tiempo en imprimir 16 piezas juntas que 16 veces una sola pieza (debido a que se eliminan 15 procesos de inicio, nivelación y calentamiento).</w:t>
      </w:r>
    </w:p>
    <w:p>
      <w:pPr>
        <w:pStyle w:val="normal1"/>
        <w:keepNext w:val="false"/>
        <w:keepLines w:val="false"/>
        <w:pageBreakBefore w:val="false"/>
        <w:widowControl/>
        <w:numPr>
          <w:ilvl w:val="0"/>
          <w:numId w:val="10"/>
        </w:numPr>
        <w:pBdr/>
        <w:shd w:val="clear" w:fill="auto"/>
        <w:tabs>
          <w:tab w:val="clear" w:pos="720"/>
          <w:tab w:val="left" w:pos="0" w:leader="none"/>
        </w:tabs>
        <w:spacing w:lineRule="auto" w:line="276" w:before="0" w:after="140"/>
        <w:ind w:hanging="283" w:start="709"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Sostenibilidad:</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Al asegurar que la máquina trabaje 10-12 horas seguidas con un solo pedido, garantizas alcanzar tu meta de utilidad diaria ($350 MXN) de forma más rápida y con menos administración de pedidos pequeños</w:t>
      </w:r>
    </w:p>
    <w:p>
      <w:pPr>
        <w:pStyle w:val="normal1"/>
        <w:keepNext w:val="false"/>
        <w:keepLines w:val="false"/>
        <w:pageBreakBefore w:val="false"/>
        <w:widowControl/>
        <w:pBdr/>
        <w:shd w:val="clear" w:fill="auto"/>
        <w:tabs>
          <w:tab w:val="clear" w:pos="720"/>
          <w:tab w:val="left" w:pos="0" w:leader="none"/>
        </w:tabs>
        <w:spacing w:lineRule="auto" w:line="276" w:before="0" w:after="140"/>
        <w:ind w:end="0"/>
        <w:jc w:val="start"/>
        <w:rPr/>
      </w:pPr>
      <w:r>
        <w:rPr/>
      </w:r>
    </w:p>
    <w:p>
      <w:pPr>
        <w:pStyle w:val="normal1"/>
        <w:keepNext w:val="false"/>
        <w:keepLines w:val="false"/>
        <w:pageBreakBefore w:val="false"/>
        <w:widowControl/>
        <w:pBdr/>
        <w:shd w:val="clear" w:fill="auto"/>
        <w:tabs>
          <w:tab w:val="clear" w:pos="720"/>
          <w:tab w:val="left" w:pos="0" w:leader="none"/>
        </w:tabs>
        <w:spacing w:lineRule="auto" w:line="276" w:before="0" w:after="140"/>
        <w:ind w:end="0"/>
        <w:jc w:val="start"/>
        <w:rPr/>
      </w:pPr>
      <w:r>
        <w:rPr/>
        <w:t>El resultado de los precios comerciales debera verse de la siguiente forma, un mismo formato de salida debe usarse para el modo de cama llena pudiendo ver los diferentes margenes de utilidad en funcion de los diferentes porcentajes</w:t>
      </w:r>
    </w:p>
    <w:tbl>
      <w:tblPr>
        <w:tblStyle w:val="Table12"/>
        <w:tblW w:w="8745" w:type="dxa"/>
        <w:jc w:val="start"/>
        <w:tblInd w:w="0" w:type="dxa"/>
        <w:tblLayout w:type="fixed"/>
        <w:tblCellMar>
          <w:top w:w="120" w:type="dxa"/>
          <w:start w:w="180" w:type="dxa"/>
          <w:bottom w:w="120" w:type="dxa"/>
          <w:end w:w="180" w:type="dxa"/>
        </w:tblCellMar>
        <w:tblLook w:val="0600"/>
      </w:tblPr>
      <w:tblGrid>
        <w:gridCol w:w="1860"/>
        <w:gridCol w:w="1830"/>
        <w:gridCol w:w="1814"/>
        <w:gridCol w:w="1575"/>
        <w:gridCol w:w="1666"/>
      </w:tblGrid>
      <w:tr>
        <w:trPr>
          <w:trHeight w:val="1095" w:hRule="atLeast"/>
        </w:trPr>
        <w:tc>
          <w:tcPr>
            <w:tcW w:w="1860" w:type="dxa"/>
            <w:tcBorders>
              <w:top w:val="single" w:sz="4" w:space="0" w:color="1F1F1F"/>
              <w:start w:val="single" w:sz="4" w:space="0" w:color="1F1F1F"/>
              <w:bottom w:val="single" w:sz="4" w:space="0" w:color="1F1F1F"/>
              <w:end w:val="single" w:sz="4" w:space="0" w:color="1F1F1F"/>
            </w:tcBorders>
            <w:shd w:fill="EFEFEF" w:val="clear"/>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Margen de Utilidad</w:t>
            </w:r>
          </w:p>
        </w:tc>
        <w:tc>
          <w:tcPr>
            <w:tcW w:w="1830" w:type="dxa"/>
            <w:tcBorders>
              <w:top w:val="single" w:sz="4" w:space="0" w:color="1F1F1F"/>
              <w:start w:val="single" w:sz="4" w:space="0" w:color="1F1F1F"/>
              <w:bottom w:val="single" w:sz="4" w:space="0" w:color="1F1F1F"/>
              <w:end w:val="single" w:sz="4" w:space="0" w:color="1F1F1F"/>
            </w:tcBorders>
            <w:shd w:fill="EFEFEF" w:val="clear"/>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Precio Total al Cliente</w:t>
            </w:r>
          </w:p>
        </w:tc>
        <w:tc>
          <w:tcPr>
            <w:tcW w:w="1814" w:type="dxa"/>
            <w:tcBorders>
              <w:top w:val="single" w:sz="4" w:space="0" w:color="1F1F1F"/>
              <w:start w:val="single" w:sz="4" w:space="0" w:color="1F1F1F"/>
              <w:bottom w:val="single" w:sz="4" w:space="0" w:color="1F1F1F"/>
              <w:end w:val="single" w:sz="4" w:space="0" w:color="1F1F1F"/>
            </w:tcBorders>
            <w:shd w:fill="EFEFEF" w:val="clear"/>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Utilidad Total (Pesos)</w:t>
            </w:r>
          </w:p>
        </w:tc>
        <w:tc>
          <w:tcPr>
            <w:tcW w:w="1575" w:type="dxa"/>
            <w:tcBorders>
              <w:top w:val="single" w:sz="4" w:space="0" w:color="1F1F1F"/>
              <w:start w:val="single" w:sz="4" w:space="0" w:color="1F1F1F"/>
              <w:bottom w:val="single" w:sz="4" w:space="0" w:color="1F1F1F"/>
              <w:end w:val="single" w:sz="4" w:space="0" w:color="1F1F1F"/>
            </w:tcBorders>
            <w:shd w:fill="EFEFEF" w:val="clear"/>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Precio Unitario</w:t>
            </w:r>
          </w:p>
        </w:tc>
        <w:tc>
          <w:tcPr>
            <w:tcW w:w="1666" w:type="dxa"/>
            <w:tcBorders>
              <w:top w:val="single" w:sz="4" w:space="0" w:color="1F1F1F"/>
              <w:start w:val="single" w:sz="4" w:space="0" w:color="1F1F1F"/>
              <w:bottom w:val="single" w:sz="4" w:space="0" w:color="1F1F1F"/>
              <w:end w:val="single" w:sz="4" w:space="0" w:color="1F1F1F"/>
            </w:tcBorders>
            <w:shd w:fill="EFEFEF" w:val="clear"/>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Utilidad por Pieza</w:t>
            </w:r>
          </w:p>
        </w:tc>
      </w:tr>
      <w:tr>
        <w:trPr>
          <w:trHeight w:val="810" w:hRule="atLeast"/>
        </w:trPr>
        <w:tc>
          <w:tcPr>
            <w:tcW w:w="186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20%</w:t>
            </w:r>
          </w:p>
        </w:tc>
        <w:tc>
          <w:tcPr>
            <w:tcW w:w="183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$166.14 MXN</w:t>
            </w:r>
          </w:p>
        </w:tc>
        <w:tc>
          <w:tcPr>
            <w:tcW w:w="1814"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$27.69 MXN</w:t>
            </w:r>
          </w:p>
        </w:tc>
        <w:tc>
          <w:tcPr>
            <w:tcW w:w="1575"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$27.69 MXN</w:t>
            </w:r>
          </w:p>
        </w:tc>
        <w:tc>
          <w:tcPr>
            <w:tcW w:w="1666"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$4.61 MXN</w:t>
            </w:r>
          </w:p>
        </w:tc>
      </w:tr>
      <w:tr>
        <w:trPr>
          <w:trHeight w:val="810" w:hRule="atLeast"/>
        </w:trPr>
        <w:tc>
          <w:tcPr>
            <w:tcW w:w="186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30%</w:t>
            </w:r>
          </w:p>
        </w:tc>
        <w:tc>
          <w:tcPr>
            <w:tcW w:w="183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$179.99 MXN</w:t>
            </w:r>
          </w:p>
        </w:tc>
        <w:tc>
          <w:tcPr>
            <w:tcW w:w="1814"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$41.54 MXN</w:t>
            </w:r>
          </w:p>
        </w:tc>
        <w:tc>
          <w:tcPr>
            <w:tcW w:w="1575"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$30.00 MXN</w:t>
            </w:r>
          </w:p>
        </w:tc>
        <w:tc>
          <w:tcPr>
            <w:tcW w:w="1666"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$6.92 MXN</w:t>
            </w:r>
          </w:p>
        </w:tc>
      </w:tr>
      <w:tr>
        <w:trPr>
          <w:trHeight w:val="810" w:hRule="atLeast"/>
        </w:trPr>
        <w:tc>
          <w:tcPr>
            <w:tcW w:w="186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40%</w:t>
            </w:r>
          </w:p>
        </w:tc>
        <w:tc>
          <w:tcPr>
            <w:tcW w:w="183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$193.83 MXN</w:t>
            </w:r>
          </w:p>
        </w:tc>
        <w:tc>
          <w:tcPr>
            <w:tcW w:w="1814"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$55.38 MXN</w:t>
            </w:r>
          </w:p>
        </w:tc>
        <w:tc>
          <w:tcPr>
            <w:tcW w:w="1575"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$32.31 MXN</w:t>
            </w:r>
          </w:p>
        </w:tc>
        <w:tc>
          <w:tcPr>
            <w:tcW w:w="1666"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$9.23 MXN</w:t>
            </w:r>
          </w:p>
        </w:tc>
      </w:tr>
      <w:tr>
        <w:trPr>
          <w:trHeight w:val="810" w:hRule="atLeast"/>
        </w:trPr>
        <w:tc>
          <w:tcPr>
            <w:tcW w:w="186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50%</w:t>
            </w:r>
          </w:p>
        </w:tc>
        <w:tc>
          <w:tcPr>
            <w:tcW w:w="183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$207.68 MXN</w:t>
            </w:r>
          </w:p>
        </w:tc>
        <w:tc>
          <w:tcPr>
            <w:tcW w:w="1814"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$69.23 MXN</w:t>
            </w:r>
          </w:p>
        </w:tc>
        <w:tc>
          <w:tcPr>
            <w:tcW w:w="1575"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$34.61 MXN</w:t>
            </w:r>
          </w:p>
        </w:tc>
        <w:tc>
          <w:tcPr>
            <w:tcW w:w="1666"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$11.54 MXN</w:t>
            </w:r>
          </w:p>
        </w:tc>
      </w:tr>
      <w:tr>
        <w:trPr>
          <w:trHeight w:val="810" w:hRule="atLeast"/>
        </w:trPr>
        <w:tc>
          <w:tcPr>
            <w:tcW w:w="186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Promedio (35%)</w:t>
            </w:r>
          </w:p>
        </w:tc>
        <w:tc>
          <w:tcPr>
            <w:tcW w:w="1830"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$186.91 MXN</w:t>
            </w:r>
          </w:p>
        </w:tc>
        <w:tc>
          <w:tcPr>
            <w:tcW w:w="1814"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b/>
                <w:bCs/>
                <w:color w:val="1F1F1F"/>
              </w:rPr>
              <w:t>$48.46 MXN</w:t>
            </w:r>
          </w:p>
        </w:tc>
        <w:tc>
          <w:tcPr>
            <w:tcW w:w="1575"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$31.15 MXN</w:t>
            </w:r>
          </w:p>
        </w:tc>
        <w:tc>
          <w:tcPr>
            <w:tcW w:w="1666" w:type="dxa"/>
            <w:tcBorders>
              <w:top w:val="single" w:sz="4" w:space="0" w:color="1F1F1F"/>
              <w:start w:val="single" w:sz="4" w:space="0" w:color="1F1F1F"/>
              <w:bottom w:val="single" w:sz="4" w:space="0" w:color="1F1F1F"/>
              <w:end w:val="single" w:sz="4" w:space="0" w:color="1F1F1F"/>
            </w:tcBorders>
          </w:tcPr>
          <w:p>
            <w:pPr>
              <w:pStyle w:val="normal1"/>
              <w:tabs>
                <w:tab w:val="clear" w:pos="720"/>
                <w:tab w:val="left" w:pos="0" w:leader="none"/>
              </w:tabs>
              <w:spacing w:lineRule="auto" w:line="276" w:before="0" w:after="480"/>
              <w:rPr>
                <w:rFonts w:ascii="Arial" w:hAnsi="Arial" w:eastAsia="Arial" w:cs="Arial"/>
                <w:color w:val="1F1F1F"/>
              </w:rPr>
            </w:pPr>
            <w:r>
              <w:rPr>
                <w:rFonts w:eastAsia="Arial" w:cs="Arial" w:ascii="Arial" w:hAnsi="Arial"/>
                <w:color w:val="1F1F1F"/>
              </w:rPr>
              <w:t>$8.07 MXN</w:t>
            </w:r>
          </w:p>
        </w:tc>
      </w:tr>
    </w:tbl>
    <w:p>
      <w:pPr>
        <w:pStyle w:val="normal1"/>
        <w:tabs>
          <w:tab w:val="clear" w:pos="720"/>
          <w:tab w:val="left" w:pos="0" w:leader="none"/>
        </w:tabs>
        <w:spacing w:lineRule="auto" w:line="276" w:before="0" w:after="240"/>
        <w:rPr>
          <w:rFonts w:ascii="Arial" w:hAnsi="Arial" w:eastAsia="Arial" w:cs="Arial"/>
        </w:rPr>
      </w:pPr>
      <w:r>
        <w:rPr>
          <w:rFonts w:eastAsia="Arial" w:cs="Arial" w:ascii="Arial" w:hAnsi="Arial"/>
        </w:rPr>
      </w:r>
    </w:p>
    <w:p>
      <w:pPr>
        <w:pStyle w:val="normal1"/>
        <w:tabs>
          <w:tab w:val="clear" w:pos="720"/>
          <w:tab w:val="left" w:pos="0" w:leader="none"/>
        </w:tabs>
        <w:spacing w:lineRule="auto" w:line="276" w:before="0" w:after="140"/>
        <w:rPr>
          <w:rFonts w:ascii="Arial" w:hAnsi="Arial" w:eastAsia="Arial" w:cs="Arial"/>
        </w:rPr>
      </w:pPr>
      <w:r>
        <w:rPr/>
        <mc:AlternateContent>
          <mc:Choice Requires="wps">
            <w:drawing>
              <wp:inline distT="0" distB="0" distL="0" distR="0">
                <wp:extent cx="6332220" cy="19050"/>
                <wp:effectExtent l="0" t="0" r="0" b="88900"/>
                <wp:docPr id="11" name=""/>
                <a:graphic xmlns:a="http://schemas.openxmlformats.org/drawingml/2006/main">
                  <a:graphicData uri="http://schemas.microsoft.com/office/word/2010/wordprocessingShape">
                    <wps:wsp>
                      <wps:cNvSpPr/>
                      <wps:nvSpPr>
                        <wps:cNvPr id="12" name=""/>
                        <wps:cNvSpPr/>
                      </wps:nvSpPr>
                      <wps:spPr>
                        <a:xfrm>
                          <a:off x="0" y="0"/>
                          <a:ext cx="6332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8.55pt;width:49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tabs>
          <w:tab w:val="clear" w:pos="720"/>
          <w:tab w:val="left" w:pos="0" w:leader="none"/>
        </w:tabs>
        <w:spacing w:lineRule="auto" w:line="276" w:before="0" w:after="80"/>
        <w:rPr>
          <w:rFonts w:ascii="Arial" w:hAnsi="Arial" w:eastAsia="Arial" w:cs="Arial"/>
          <w:sz w:val="26"/>
          <w:szCs w:val="26"/>
        </w:rPr>
      </w:pPr>
      <w:bookmarkStart w:id="11" w:name="_heading=h.ysw8u4muhd18"/>
      <w:bookmarkEnd w:id="11"/>
      <w:r>
        <w:rPr>
          <w:rFonts w:eastAsia="Arial" w:cs="Arial" w:ascii="Arial" w:hAnsi="Arial"/>
          <w:sz w:val="26"/>
          <w:szCs w:val="26"/>
        </w:rPr>
        <w:t>REGLA: Utilidad Compartida y Compensación de Exhibición (Socio 50/50)</w:t>
      </w:r>
    </w:p>
    <w:p>
      <w:pPr>
        <w:pStyle w:val="normal1"/>
        <w:tabs>
          <w:tab w:val="clear" w:pos="720"/>
          <w:tab w:val="left" w:pos="0" w:leader="none"/>
        </w:tabs>
        <w:spacing w:lineRule="auto" w:line="276" w:before="0" w:after="240"/>
        <w:rPr>
          <w:rFonts w:ascii="Arial" w:hAnsi="Arial" w:eastAsia="Arial" w:cs="Arial"/>
        </w:rPr>
      </w:pPr>
      <w:r>
        <w:rPr>
          <w:rFonts w:eastAsia="Arial" w:cs="Arial" w:ascii="Arial" w:hAnsi="Arial"/>
        </w:rPr>
        <w:t>Esta regla regula la comercialización de productos en establecimientos externos mediante un esquema de "Socio Comercial". Se basa en la transparencia de costos y la división equitativa de la ganancia neta, reconociendo además el valor del espacio físico del local.</w:t>
      </w:r>
    </w:p>
    <w:p>
      <w:pPr>
        <w:pStyle w:val="Heading4"/>
        <w:keepNext w:val="false"/>
        <w:tabs>
          <w:tab w:val="clear" w:pos="720"/>
          <w:tab w:val="left" w:pos="0" w:leader="none"/>
        </w:tabs>
        <w:spacing w:lineRule="auto" w:line="276" w:before="0" w:after="40"/>
        <w:rPr>
          <w:rFonts w:ascii="Arial" w:hAnsi="Arial" w:eastAsia="Arial" w:cs="Arial"/>
          <w:sz w:val="22"/>
          <w:szCs w:val="22"/>
        </w:rPr>
      </w:pPr>
      <w:bookmarkStart w:id="12" w:name="_heading=h.4knktvgf9ugs"/>
      <w:bookmarkEnd w:id="12"/>
      <w:r>
        <w:rPr>
          <w:rFonts w:eastAsia="Arial" w:cs="Arial" w:ascii="Arial" w:hAnsi="Arial"/>
          <w:sz w:val="22"/>
          <w:szCs w:val="22"/>
        </w:rPr>
        <w:t>1. Estructura del Precio de Venta al Público (PVP)</w:t>
      </w:r>
    </w:p>
    <w:p>
      <w:pPr>
        <w:pStyle w:val="normal1"/>
        <w:pBdr/>
        <w:tabs>
          <w:tab w:val="clear" w:pos="720"/>
          <w:tab w:val="left" w:pos="0" w:leader="none"/>
        </w:tabs>
        <w:spacing w:lineRule="auto" w:line="276" w:before="0" w:after="240"/>
        <w:rPr>
          <w:rFonts w:ascii="Arial" w:hAnsi="Arial" w:eastAsia="Arial" w:cs="Arial"/>
        </w:rPr>
      </w:pPr>
      <w:r>
        <w:rPr>
          <w:rFonts w:eastAsia="Arial" w:cs="Arial" w:ascii="Arial" w:hAnsi="Arial"/>
        </w:rPr>
        <w:t>El precio final se calcula sumando tres componentes críticos:</w:t>
      </w:r>
    </w:p>
    <w:p>
      <w:pPr>
        <w:pStyle w:val="normal1"/>
        <w:tabs>
          <w:tab w:val="clear" w:pos="720"/>
          <w:tab w:val="left" w:pos="0" w:leader="none"/>
        </w:tabs>
        <w:spacing w:lineRule="auto" w:line="276" w:before="0" w:after="140"/>
        <w:rPr>
          <w:rFonts w:ascii="Arial" w:hAnsi="Arial" w:eastAsia="Arial" w:cs="Arial"/>
        </w:rPr>
      </w:pPr>
      <w:r>
        <w:rPr>
          <w:rFonts w:eastAsia="Arial" w:cs="Arial" w:ascii="Arial" w:hAnsi="Arial"/>
        </w:rPr>
        <w:t>PVP = Costo Operativo Total + Gasto de Exhibición + Utilidad Bruta Total</w:t>
      </w:r>
    </w:p>
    <w:p>
      <w:pPr>
        <w:pStyle w:val="Heading4"/>
        <w:keepNext w:val="false"/>
        <w:tabs>
          <w:tab w:val="clear" w:pos="720"/>
          <w:tab w:val="left" w:pos="0" w:leader="none"/>
        </w:tabs>
        <w:spacing w:lineRule="auto" w:line="276" w:before="0" w:after="40"/>
        <w:rPr>
          <w:rFonts w:ascii="Arial" w:hAnsi="Arial" w:eastAsia="Arial" w:cs="Arial"/>
          <w:sz w:val="22"/>
          <w:szCs w:val="22"/>
        </w:rPr>
      </w:pPr>
      <w:bookmarkStart w:id="13" w:name="_heading=h.3mrrvvdu1b1"/>
      <w:bookmarkEnd w:id="13"/>
      <w:r>
        <w:rPr>
          <w:rFonts w:eastAsia="Arial" w:cs="Arial" w:ascii="Arial" w:hAnsi="Arial"/>
          <w:sz w:val="22"/>
          <w:szCs w:val="22"/>
        </w:rPr>
        <w:t>2. Definición de los Componentes</w:t>
      </w:r>
    </w:p>
    <w:p>
      <w:pPr>
        <w:pStyle w:val="normal1"/>
        <w:numPr>
          <w:ilvl w:val="0"/>
          <w:numId w:val="5"/>
        </w:numPr>
        <w:tabs>
          <w:tab w:val="clear" w:pos="720"/>
          <w:tab w:val="left" w:pos="0" w:leader="none"/>
        </w:tabs>
        <w:spacing w:lineRule="auto" w:line="276" w:before="0" w:afterAutospacing="0" w:after="0"/>
        <w:ind w:hanging="360" w:start="720"/>
        <w:rPr/>
      </w:pPr>
      <w:r>
        <w:rPr>
          <w:rFonts w:eastAsia="Arial" w:cs="Arial" w:ascii="Arial" w:hAnsi="Arial"/>
          <w:b/>
          <w:bCs/>
          <w:sz w:val="22"/>
          <w:szCs w:val="22"/>
        </w:rPr>
        <w:t>Costo Operativo Total:</w:t>
      </w:r>
      <w:r>
        <w:rPr>
          <w:rFonts w:eastAsia="Arial" w:cs="Arial" w:ascii="Arial" w:hAnsi="Arial"/>
        </w:rPr>
        <w:t xml:space="preserve"> Es tu </w:t>
      </w:r>
      <w:r>
        <w:rPr>
          <w:rFonts w:eastAsia="Arial" w:cs="Arial" w:ascii="Arial" w:hAnsi="Arial"/>
          <w:b/>
          <w:bCs/>
        </w:rPr>
        <w:t>Costo Real con Riesgo</w:t>
      </w:r>
      <w:r>
        <w:rPr>
          <w:rFonts w:eastAsia="Arial" w:cs="Arial" w:ascii="Arial" w:hAnsi="Arial"/>
        </w:rPr>
        <w:t xml:space="preserve">. Incluye material, energía, desgaste de maquinaria, el factor de riesgo y tu cuota fija de mano de obra de </w:t>
      </w:r>
      <w:r>
        <w:rPr>
          <w:rFonts w:eastAsia="Arial" w:cs="Arial" w:ascii="Arial" w:hAnsi="Arial"/>
          <w:b/>
          <w:bCs/>
        </w:rPr>
        <w:t>$30.00 MXN</w:t>
      </w:r>
      <w:r>
        <w:rPr>
          <w:rFonts w:eastAsia="Arial" w:cs="Arial" w:ascii="Arial" w:hAnsi="Arial"/>
        </w:rPr>
        <w:t>.</w:t>
      </w:r>
    </w:p>
    <w:p>
      <w:pPr>
        <w:pStyle w:val="normal1"/>
        <w:numPr>
          <w:ilvl w:val="0"/>
          <w:numId w:val="5"/>
        </w:numPr>
        <w:tabs>
          <w:tab w:val="clear" w:pos="720"/>
          <w:tab w:val="left" w:pos="0" w:leader="none"/>
        </w:tabs>
        <w:spacing w:lineRule="auto" w:line="276" w:before="0" w:afterAutospacing="0" w:after="0"/>
        <w:ind w:hanging="360" w:start="720"/>
        <w:rPr/>
      </w:pPr>
      <w:r>
        <w:rPr>
          <w:rFonts w:eastAsia="Arial" w:cs="Arial" w:ascii="Arial" w:hAnsi="Arial"/>
          <w:b/>
          <w:bCs/>
        </w:rPr>
        <w:t>Gasto de Exhibición (Fee de Piso):</w:t>
      </w:r>
      <w:r>
        <w:rPr>
          <w:rFonts w:eastAsia="Arial" w:cs="Arial" w:ascii="Arial" w:hAnsi="Arial"/>
        </w:rPr>
        <w:t xml:space="preserve"> Se añade un </w:t>
      </w:r>
      <w:r>
        <w:rPr>
          <w:rFonts w:eastAsia="Arial" w:cs="Arial" w:ascii="Arial" w:hAnsi="Arial"/>
          <w:b/>
          <w:bCs/>
        </w:rPr>
        <w:t>5% adicional</w:t>
      </w:r>
      <w:r>
        <w:rPr>
          <w:rFonts w:eastAsia="Arial" w:cs="Arial" w:ascii="Arial" w:hAnsi="Arial"/>
        </w:rPr>
        <w:t xml:space="preserve"> sobre el Costo Operativo Total. Este monto está destinado a compensar al local por el uso de su propiedad (renta, anaqueles, limpieza y servicios) y le pertenece íntegramente al dueño del establecimiento al realizarse la venta.</w:t>
      </w:r>
    </w:p>
    <w:p>
      <w:pPr>
        <w:pStyle w:val="normal1"/>
        <w:numPr>
          <w:ilvl w:val="0"/>
          <w:numId w:val="5"/>
        </w:numPr>
        <w:tabs>
          <w:tab w:val="clear" w:pos="720"/>
          <w:tab w:val="left" w:pos="0" w:leader="none"/>
        </w:tabs>
        <w:spacing w:lineRule="auto" w:line="276" w:before="0" w:after="240"/>
        <w:ind w:hanging="360" w:start="720"/>
        <w:rPr/>
      </w:pPr>
      <w:r>
        <w:rPr>
          <w:rFonts w:eastAsia="Arial" w:cs="Arial" w:ascii="Arial" w:hAnsi="Arial"/>
          <w:b/>
          <w:bCs/>
        </w:rPr>
        <w:t>Utilidad Bruta Total:</w:t>
      </w:r>
      <w:r>
        <w:rPr>
          <w:rFonts w:eastAsia="Arial" w:cs="Arial" w:ascii="Arial" w:hAnsi="Arial"/>
        </w:rPr>
        <w:t xml:space="preserve"> Es el margen de ganancia neta que se desea generar por encima de los costos. Se recomienda un nivel </w:t>
      </w:r>
      <w:r>
        <w:rPr>
          <w:rFonts w:eastAsia="Arial" w:cs="Arial" w:ascii="Arial" w:hAnsi="Arial"/>
          <w:b/>
          <w:bCs/>
        </w:rPr>
        <w:t>Estándar (100%)</w:t>
      </w:r>
      <w:r>
        <w:rPr>
          <w:rFonts w:eastAsia="Arial" w:cs="Arial" w:ascii="Arial" w:hAnsi="Arial"/>
        </w:rPr>
        <w:t xml:space="preserve"> para que la repartición sea competitiva.</w:t>
      </w:r>
    </w:p>
    <w:p>
      <w:pPr>
        <w:pStyle w:val="Heading4"/>
        <w:keepNext w:val="false"/>
        <w:tabs>
          <w:tab w:val="clear" w:pos="720"/>
          <w:tab w:val="left" w:pos="0" w:leader="none"/>
        </w:tabs>
        <w:spacing w:lineRule="auto" w:line="276" w:before="0" w:after="40"/>
        <w:rPr>
          <w:rFonts w:ascii="Arial" w:hAnsi="Arial" w:eastAsia="Arial" w:cs="Arial"/>
          <w:sz w:val="22"/>
          <w:szCs w:val="22"/>
        </w:rPr>
      </w:pPr>
      <w:bookmarkStart w:id="14" w:name="_heading=h.gyx83i7t5duo"/>
      <w:bookmarkEnd w:id="14"/>
      <w:r>
        <w:rPr>
          <w:rFonts w:eastAsia="Arial" w:cs="Arial" w:ascii="Arial" w:hAnsi="Arial"/>
          <w:sz w:val="22"/>
          <w:szCs w:val="22"/>
        </w:rPr>
        <w:t>3. Tabla de Niveles de Utilidad (Sobre el Costo)</w:t>
      </w:r>
    </w:p>
    <w:p>
      <w:pPr>
        <w:pStyle w:val="normal1"/>
        <w:tabs>
          <w:tab w:val="clear" w:pos="720"/>
          <w:tab w:val="left" w:pos="0" w:leader="none"/>
        </w:tabs>
        <w:spacing w:lineRule="auto" w:line="276" w:before="0" w:after="240"/>
        <w:rPr>
          <w:rFonts w:ascii="Arial" w:hAnsi="Arial" w:eastAsia="Arial" w:cs="Arial"/>
        </w:rPr>
      </w:pPr>
      <w:r>
        <w:rPr>
          <w:rFonts w:eastAsia="Arial" w:cs="Arial" w:ascii="Arial" w:hAnsi="Arial"/>
        </w:rPr>
        <w:t xml:space="preserve">El margen de utilidad se elige según la complejidad del modelo (por ejemplo, el modelo </w:t>
      </w:r>
      <w:r>
        <w:rPr>
          <w:rFonts w:eastAsia="Arial" w:cs="Arial" w:ascii="Arial" w:hAnsi="Arial"/>
          <w:i/>
          <w:iCs/>
        </w:rPr>
        <w:t>profile</w:t>
      </w:r>
      <w:r>
        <w:rPr>
          <w:rFonts w:eastAsia="Arial" w:cs="Arial" w:ascii="Arial" w:hAnsi="Arial"/>
        </w:rPr>
        <w:t xml:space="preserve"> de 4 colores requiere un nivel mayor que un modelo monocolor):</w:t>
      </w:r>
    </w:p>
    <w:tbl>
      <w:tblPr>
        <w:tblStyle w:val="Table13"/>
        <w:tblW w:w="9405" w:type="dxa"/>
        <w:jc w:val="start"/>
        <w:tblInd w:w="0" w:type="dxa"/>
        <w:tblLayout w:type="fixed"/>
        <w:tblCellMar>
          <w:top w:w="100" w:type="dxa"/>
          <w:start w:w="100" w:type="dxa"/>
          <w:bottom w:w="100" w:type="dxa"/>
          <w:end w:w="100" w:type="dxa"/>
        </w:tblCellMar>
        <w:tblLook w:val="0600"/>
      </w:tblPr>
      <w:tblGrid>
        <w:gridCol w:w="1925"/>
        <w:gridCol w:w="1505"/>
        <w:gridCol w:w="5975"/>
      </w:tblGrid>
      <w:tr>
        <w:trPr>
          <w:trHeight w:val="800" w:hRule="atLeast"/>
        </w:trPr>
        <w:tc>
          <w:tcPr>
            <w:tcW w:w="192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Nivel de Utilidad</w:t>
            </w:r>
          </w:p>
        </w:tc>
        <w:tc>
          <w:tcPr>
            <w:tcW w:w="150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 Sugerido</w:t>
            </w:r>
          </w:p>
        </w:tc>
        <w:tc>
          <w:tcPr>
            <w:tcW w:w="597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Uso Recomendado</w:t>
            </w:r>
          </w:p>
        </w:tc>
      </w:tr>
      <w:tr>
        <w:trPr>
          <w:trHeight w:val="530" w:hRule="atLeast"/>
        </w:trPr>
        <w:tc>
          <w:tcPr>
            <w:tcW w:w="192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Básico</w:t>
            </w:r>
          </w:p>
        </w:tc>
        <w:tc>
          <w:tcPr>
            <w:tcW w:w="150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rPr>
              <w:t>50%</w:t>
            </w:r>
          </w:p>
        </w:tc>
        <w:tc>
          <w:tcPr>
            <w:tcW w:w="597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rPr>
              <w:t>Piezas pequeñas de alta rotación.</w:t>
            </w:r>
          </w:p>
        </w:tc>
      </w:tr>
      <w:tr>
        <w:trPr>
          <w:trHeight w:val="800" w:hRule="atLeast"/>
        </w:trPr>
        <w:tc>
          <w:tcPr>
            <w:tcW w:w="192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Estándar</w:t>
            </w:r>
          </w:p>
        </w:tc>
        <w:tc>
          <w:tcPr>
            <w:tcW w:w="150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rPr>
              <w:t>100%</w:t>
            </w:r>
          </w:p>
        </w:tc>
        <w:tc>
          <w:tcPr>
            <w:tcW w:w="597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Recomendado:</w:t>
            </w:r>
            <w:r>
              <w:rPr>
                <w:rFonts w:eastAsia="Arial" w:cs="Arial" w:ascii="Arial" w:hAnsi="Arial"/>
              </w:rPr>
              <w:t xml:space="preserve"> Ideal para la mayoría de los modelos decorativos.</w:t>
            </w:r>
          </w:p>
        </w:tc>
      </w:tr>
      <w:tr>
        <w:trPr>
          <w:trHeight w:val="800" w:hRule="atLeast"/>
        </w:trPr>
        <w:tc>
          <w:tcPr>
            <w:tcW w:w="192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Premium</w:t>
            </w:r>
          </w:p>
        </w:tc>
        <w:tc>
          <w:tcPr>
            <w:tcW w:w="150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rPr>
              <w:t>150%</w:t>
            </w:r>
          </w:p>
        </w:tc>
        <w:tc>
          <w:tcPr>
            <w:tcW w:w="597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rPr>
              <w:t>Modelos con tiempos de impresión prolongados (ej. +5 horas).</w:t>
            </w:r>
          </w:p>
        </w:tc>
      </w:tr>
      <w:tr>
        <w:trPr>
          <w:trHeight w:val="800" w:hRule="atLeast"/>
        </w:trPr>
        <w:tc>
          <w:tcPr>
            <w:tcW w:w="192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b/>
                <w:bCs/>
              </w:rPr>
              <w:t>Exclusivo</w:t>
            </w:r>
          </w:p>
        </w:tc>
        <w:tc>
          <w:tcPr>
            <w:tcW w:w="150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rPr>
              <w:t>200%</w:t>
            </w:r>
          </w:p>
        </w:tc>
        <w:tc>
          <w:tcPr>
            <w:tcW w:w="597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0" w:leader="none"/>
              </w:tabs>
              <w:spacing w:lineRule="auto" w:line="276" w:before="0" w:after="480"/>
              <w:rPr>
                <w:rFonts w:ascii="Arial" w:hAnsi="Arial" w:eastAsia="Arial" w:cs="Arial"/>
              </w:rPr>
            </w:pPr>
            <w:r>
              <w:rPr>
                <w:rFonts w:eastAsia="Arial" w:cs="Arial" w:ascii="Arial" w:hAnsi="Arial"/>
              </w:rPr>
              <w:t>Diseños de autor o filamentos especiales de alto costo.</w:t>
            </w:r>
          </w:p>
        </w:tc>
      </w:tr>
    </w:tbl>
    <w:p>
      <w:pPr>
        <w:pStyle w:val="Heading4"/>
        <w:keepNext w:val="false"/>
        <w:tabs>
          <w:tab w:val="clear" w:pos="720"/>
          <w:tab w:val="left" w:pos="0" w:leader="none"/>
        </w:tabs>
        <w:spacing w:lineRule="auto" w:line="276" w:before="0" w:after="40"/>
        <w:rPr>
          <w:rFonts w:ascii="Arial" w:hAnsi="Arial" w:eastAsia="Arial" w:cs="Arial"/>
          <w:sz w:val="22"/>
          <w:szCs w:val="22"/>
        </w:rPr>
      </w:pPr>
      <w:bookmarkStart w:id="15" w:name="_heading=h.u4s72u6y1v10"/>
      <w:bookmarkEnd w:id="15"/>
      <w:r>
        <w:rPr>
          <w:rFonts w:eastAsia="Arial" w:cs="Arial" w:ascii="Arial" w:hAnsi="Arial"/>
          <w:sz w:val="22"/>
          <w:szCs w:val="22"/>
        </w:rPr>
        <w:t>4. Dinámica de Reparto de Ingresos</w:t>
      </w:r>
    </w:p>
    <w:p>
      <w:pPr>
        <w:pStyle w:val="normal1"/>
        <w:tabs>
          <w:tab w:val="clear" w:pos="720"/>
          <w:tab w:val="left" w:pos="0" w:leader="none"/>
        </w:tabs>
        <w:spacing w:lineRule="auto" w:line="276" w:before="0" w:after="240"/>
        <w:rPr>
          <w:rFonts w:ascii="Arial" w:hAnsi="Arial" w:eastAsia="Arial" w:cs="Arial"/>
        </w:rPr>
      </w:pPr>
      <w:r>
        <w:rPr>
          <w:rFonts w:eastAsia="Arial" w:cs="Arial" w:ascii="Arial" w:hAnsi="Arial"/>
        </w:rPr>
        <w:t>Una vez vendido el producto, los ingresos se distribuyen de la siguiente manera:</w:t>
      </w:r>
    </w:p>
    <w:p>
      <w:pPr>
        <w:pStyle w:val="normal1"/>
        <w:numPr>
          <w:ilvl w:val="0"/>
          <w:numId w:val="11"/>
        </w:numPr>
        <w:tabs>
          <w:tab w:val="clear" w:pos="720"/>
          <w:tab w:val="left" w:pos="0" w:leader="none"/>
        </w:tabs>
        <w:spacing w:lineRule="auto" w:line="276" w:before="0" w:afterAutospacing="0" w:after="0"/>
        <w:ind w:hanging="360" w:start="720"/>
        <w:rPr/>
      </w:pPr>
      <w:r>
        <w:rPr>
          <w:rFonts w:eastAsia="Arial" w:cs="Arial" w:ascii="Arial" w:hAnsi="Arial"/>
          <w:b/>
          <w:bCs/>
        </w:rPr>
        <w:t>Para el Productor (Tú):</w:t>
      </w:r>
      <w:r>
        <w:rPr>
          <w:rFonts w:eastAsia="Arial" w:cs="Arial" w:ascii="Arial" w:hAnsi="Arial"/>
        </w:rPr>
        <w:t xml:space="preserve"> Recuperas tu </w:t>
      </w:r>
      <w:r>
        <w:rPr>
          <w:rFonts w:eastAsia="Arial" w:cs="Arial" w:ascii="Arial" w:hAnsi="Arial"/>
          <w:b/>
          <w:bCs/>
        </w:rPr>
        <w:t>Costo Operativo Total</w:t>
      </w:r>
      <w:r>
        <w:rPr>
          <w:rFonts w:eastAsia="Arial" w:cs="Arial" w:ascii="Arial" w:hAnsi="Arial"/>
        </w:rPr>
        <w:t xml:space="preserve"> + el </w:t>
      </w:r>
      <w:r>
        <w:rPr>
          <w:rFonts w:eastAsia="Arial" w:cs="Arial" w:ascii="Arial" w:hAnsi="Arial"/>
          <w:b/>
          <w:bCs/>
        </w:rPr>
        <w:t>50% de la Utilidad Bruta Total</w:t>
      </w:r>
      <w:r>
        <w:rPr>
          <w:rFonts w:eastAsia="Arial" w:cs="Arial" w:ascii="Arial" w:hAnsi="Arial"/>
        </w:rPr>
        <w:t>.</w:t>
      </w:r>
    </w:p>
    <w:p>
      <w:pPr>
        <w:pStyle w:val="normal1"/>
        <w:numPr>
          <w:ilvl w:val="0"/>
          <w:numId w:val="11"/>
        </w:numPr>
        <w:tabs>
          <w:tab w:val="clear" w:pos="720"/>
          <w:tab w:val="left" w:pos="0" w:leader="none"/>
        </w:tabs>
        <w:spacing w:lineRule="auto" w:line="276" w:before="0" w:after="240"/>
        <w:ind w:hanging="360" w:start="720"/>
        <w:rPr/>
      </w:pPr>
      <w:r>
        <w:rPr>
          <w:rFonts w:eastAsia="Arial" w:cs="Arial" w:ascii="Arial" w:hAnsi="Arial"/>
          <w:b/>
          <w:bCs/>
        </w:rPr>
        <w:t>Para el Local (Socio):</w:t>
      </w:r>
      <w:r>
        <w:rPr>
          <w:rFonts w:eastAsia="Arial" w:cs="Arial" w:ascii="Arial" w:hAnsi="Arial"/>
        </w:rPr>
        <w:t xml:space="preserve"> Conserva el </w:t>
      </w:r>
      <w:r>
        <w:rPr>
          <w:rFonts w:eastAsia="Arial" w:cs="Arial" w:ascii="Arial" w:hAnsi="Arial"/>
          <w:b/>
          <w:bCs/>
        </w:rPr>
        <w:t>Gasto de Exhibición (5%)</w:t>
      </w:r>
      <w:r>
        <w:rPr>
          <w:rFonts w:eastAsia="Arial" w:cs="Arial" w:ascii="Arial" w:hAnsi="Arial"/>
        </w:rPr>
        <w:t xml:space="preserve"> + el </w:t>
      </w:r>
      <w:r>
        <w:rPr>
          <w:rFonts w:eastAsia="Arial" w:cs="Arial" w:ascii="Arial" w:hAnsi="Arial"/>
          <w:b/>
          <w:bCs/>
        </w:rPr>
        <w:t>50% de la Utilidad Bruta Total</w:t>
      </w:r>
      <w:r>
        <w:rPr>
          <w:rFonts w:eastAsia="Arial" w:cs="Arial" w:ascii="Arial" w:hAnsi="Arial"/>
        </w:rPr>
        <w:t>.</w:t>
      </w:r>
    </w:p>
    <w:p>
      <w:pPr>
        <w:pStyle w:val="normal1"/>
        <w:keepNext w:val="false"/>
        <w:keepLines w:val="false"/>
        <w:pageBreakBefore w:val="false"/>
        <w:widowControl/>
        <w:pBdr/>
        <w:shd w:val="clear" w:fill="auto"/>
        <w:tabs>
          <w:tab w:val="clear" w:pos="720"/>
          <w:tab w:val="left" w:pos="0" w:leader="none"/>
        </w:tabs>
        <w:spacing w:lineRule="auto" w:line="276" w:before="0" w:after="140"/>
        <w:ind w:end="0"/>
        <w:jc w:val="start"/>
        <w:rPr/>
      </w:pPr>
      <w:r>
        <w:rPr/>
        <w:t>Se debera generar una tabla de salida donde se detalle el desglose del reparto, es decir cuanto le toca al productor y al local respectivamente, con el fin de hacerlo lo mas transparente posible.</w:t>
      </w:r>
    </w:p>
    <w:p>
      <w:pPr>
        <w:pStyle w:val="Heading3"/>
        <w:keepNext w:val="false"/>
        <w:spacing w:lineRule="auto" w:line="276" w:before="0" w:after="80"/>
        <w:rPr>
          <w:rFonts w:ascii="Arial" w:hAnsi="Arial" w:eastAsia="Arial" w:cs="Arial"/>
          <w:sz w:val="26"/>
          <w:szCs w:val="26"/>
        </w:rPr>
      </w:pPr>
      <w:r>
        <w:rPr/>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0" w:characterSet="windows-1252"/>
    <w:family w:val="roman"/>
    <w:pitch w:val="variable"/>
  </w:font>
  <w:font w:name="Arial">
    <w:charset w:val="01"/>
    <w:family w:val="swiss"/>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embedRegular r:id="rId5" w:fontKey="{05014A78-CABC-4EF0-12AC-5CD89AEFDE05}"/>
  </w:font>
  <w:font w:name="Noto Sans Symbols">
    <w:charset w:val="01"/>
    <w:family w:val="swiss"/>
    <w:pitch w:val="default"/>
    <w:embedRegular r:id="rId6" w:fontKey="{06014A78-CABC-4EF0-12AC-5CD89AEFDE06}"/>
    <w:embedBold r:id="rId7" w:fontKey="{07014A78-CABC-4EF0-12AC-5CD89AEFDE07}"/>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rFonts w:ascii="Arial" w:hAnsi="Arial" w:eastAsia="Arial" w:cs="Arial"/>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0"/>
        </w:tabs>
        <w:ind w:start="709" w:hanging="283"/>
      </w:pPr>
      <w:rPr/>
    </w:lvl>
    <w:lvl w:ilvl="1">
      <w:start w:val="1"/>
      <w:numFmt w:val="bullet"/>
      <w:lvlText w:val="●"/>
      <w:lvlJc w:val="start"/>
      <w:pPr>
        <w:tabs>
          <w:tab w:val="num" w:pos="0"/>
        </w:tabs>
        <w:ind w:start="1418" w:hanging="283"/>
      </w:pPr>
      <w:rPr>
        <w:rFonts w:ascii="Noto Sans Symbols" w:hAnsi="Noto Sans Symbols" w:cs="Noto Sans Symbols" w:hint="default"/>
      </w:rPr>
    </w:lvl>
    <w:lvl w:ilvl="2">
      <w:start w:val="1"/>
      <w:numFmt w:val="bullet"/>
      <w:lvlText w:val="●"/>
      <w:lvlJc w:val="start"/>
      <w:pPr>
        <w:tabs>
          <w:tab w:val="num" w:pos="0"/>
        </w:tabs>
        <w:ind w:start="2127" w:hanging="283"/>
      </w:pPr>
      <w:rPr>
        <w:rFonts w:ascii="Noto Sans Symbols" w:hAnsi="Noto Sans Symbols" w:cs="Noto Sans Symbols" w:hint="default"/>
      </w:rPr>
    </w:lvl>
    <w:lvl w:ilvl="3">
      <w:start w:val="1"/>
      <w:numFmt w:val="bullet"/>
      <w:lvlText w:val="●"/>
      <w:lvlJc w:val="start"/>
      <w:pPr>
        <w:tabs>
          <w:tab w:val="num" w:pos="0"/>
        </w:tabs>
        <w:ind w:start="2836" w:hanging="283"/>
      </w:pPr>
      <w:rPr>
        <w:rFonts w:ascii="Noto Sans Symbols" w:hAnsi="Noto Sans Symbols" w:cs="Noto Sans Symbols" w:hint="default"/>
      </w:rPr>
    </w:lvl>
    <w:lvl w:ilvl="4">
      <w:start w:val="1"/>
      <w:numFmt w:val="bullet"/>
      <w:lvlText w:val="●"/>
      <w:lvlJc w:val="start"/>
      <w:pPr>
        <w:tabs>
          <w:tab w:val="num" w:pos="0"/>
        </w:tabs>
        <w:ind w:start="3545" w:hanging="283"/>
      </w:pPr>
      <w:rPr>
        <w:rFonts w:ascii="Noto Sans Symbols" w:hAnsi="Noto Sans Symbols" w:cs="Noto Sans Symbols" w:hint="default"/>
      </w:rPr>
    </w:lvl>
    <w:lvl w:ilvl="5">
      <w:start w:val="1"/>
      <w:numFmt w:val="bullet"/>
      <w:lvlText w:val="●"/>
      <w:lvlJc w:val="start"/>
      <w:pPr>
        <w:tabs>
          <w:tab w:val="num" w:pos="0"/>
        </w:tabs>
        <w:ind w:start="4254" w:hanging="283"/>
      </w:pPr>
      <w:rPr>
        <w:rFonts w:ascii="Noto Sans Symbols" w:hAnsi="Noto Sans Symbols" w:cs="Noto Sans Symbols" w:hint="default"/>
      </w:rPr>
    </w:lvl>
    <w:lvl w:ilvl="6">
      <w:start w:val="1"/>
      <w:numFmt w:val="bullet"/>
      <w:lvlText w:val="●"/>
      <w:lvlJc w:val="start"/>
      <w:pPr>
        <w:tabs>
          <w:tab w:val="num" w:pos="0"/>
        </w:tabs>
        <w:ind w:start="4963" w:hanging="283"/>
      </w:pPr>
      <w:rPr>
        <w:rFonts w:ascii="Noto Sans Symbols" w:hAnsi="Noto Sans Symbols" w:cs="Noto Sans Symbols" w:hint="default"/>
      </w:rPr>
    </w:lvl>
    <w:lvl w:ilvl="7">
      <w:start w:val="1"/>
      <w:numFmt w:val="bullet"/>
      <w:lvlText w:val="●"/>
      <w:lvlJc w:val="start"/>
      <w:pPr>
        <w:tabs>
          <w:tab w:val="num" w:pos="0"/>
        </w:tabs>
        <w:ind w:start="5672" w:hanging="283"/>
      </w:pPr>
      <w:rPr>
        <w:rFonts w:ascii="Noto Sans Symbols" w:hAnsi="Noto Sans Symbols" w:cs="Noto Sans Symbols" w:hint="default"/>
      </w:rPr>
    </w:lvl>
    <w:lvl w:ilvl="8">
      <w:start w:val="1"/>
      <w:numFmt w:val="bullet"/>
      <w:lvlText w:val="●"/>
      <w:lvlJc w:val="start"/>
      <w:pPr>
        <w:tabs>
          <w:tab w:val="num" w:pos="0"/>
        </w:tabs>
        <w:ind w:start="6381" w:hanging="283"/>
      </w:pPr>
      <w:rPr>
        <w:rFonts w:ascii="Noto Sans Symbols" w:hAnsi="Noto Sans Symbols" w:cs="Noto Sans Symbols" w:hint="default"/>
      </w:rPr>
    </w:lvl>
  </w:abstractNum>
  <w:abstractNum w:abstractNumId="7">
    <w:lvl w:ilvl="0">
      <w:start w:val="1"/>
      <w:numFmt w:val="bullet"/>
      <w:lvlText w:val="●"/>
      <w:lvlJc w:val="start"/>
      <w:pPr>
        <w:tabs>
          <w:tab w:val="num" w:pos="0"/>
        </w:tabs>
        <w:ind w:start="709" w:hanging="283"/>
      </w:pPr>
      <w:rPr>
        <w:rFonts w:ascii="Noto Sans Symbols" w:hAnsi="Noto Sans Symbols" w:cs="Noto Sans Symbols" w:hint="default"/>
      </w:rPr>
    </w:lvl>
    <w:lvl w:ilvl="1">
      <w:start w:val="1"/>
      <w:numFmt w:val="bullet"/>
      <w:lvlText w:val="●"/>
      <w:lvlJc w:val="start"/>
      <w:pPr>
        <w:tabs>
          <w:tab w:val="num" w:pos="0"/>
        </w:tabs>
        <w:ind w:start="1418" w:hanging="283"/>
      </w:pPr>
      <w:rPr>
        <w:rFonts w:ascii="Noto Sans Symbols" w:hAnsi="Noto Sans Symbols" w:cs="Noto Sans Symbols" w:hint="default"/>
      </w:rPr>
    </w:lvl>
    <w:lvl w:ilvl="2">
      <w:start w:val="1"/>
      <w:numFmt w:val="bullet"/>
      <w:lvlText w:val="●"/>
      <w:lvlJc w:val="start"/>
      <w:pPr>
        <w:tabs>
          <w:tab w:val="num" w:pos="0"/>
        </w:tabs>
        <w:ind w:start="2127" w:hanging="283"/>
      </w:pPr>
      <w:rPr>
        <w:rFonts w:ascii="Noto Sans Symbols" w:hAnsi="Noto Sans Symbols" w:cs="Noto Sans Symbols" w:hint="default"/>
      </w:rPr>
    </w:lvl>
    <w:lvl w:ilvl="3">
      <w:start w:val="1"/>
      <w:numFmt w:val="bullet"/>
      <w:lvlText w:val="●"/>
      <w:lvlJc w:val="start"/>
      <w:pPr>
        <w:tabs>
          <w:tab w:val="num" w:pos="0"/>
        </w:tabs>
        <w:ind w:start="2836" w:hanging="283"/>
      </w:pPr>
      <w:rPr>
        <w:rFonts w:ascii="Noto Sans Symbols" w:hAnsi="Noto Sans Symbols" w:cs="Noto Sans Symbols" w:hint="default"/>
      </w:rPr>
    </w:lvl>
    <w:lvl w:ilvl="4">
      <w:start w:val="1"/>
      <w:numFmt w:val="bullet"/>
      <w:lvlText w:val="●"/>
      <w:lvlJc w:val="start"/>
      <w:pPr>
        <w:tabs>
          <w:tab w:val="num" w:pos="0"/>
        </w:tabs>
        <w:ind w:start="3545" w:hanging="283"/>
      </w:pPr>
      <w:rPr>
        <w:rFonts w:ascii="Noto Sans Symbols" w:hAnsi="Noto Sans Symbols" w:cs="Noto Sans Symbols" w:hint="default"/>
      </w:rPr>
    </w:lvl>
    <w:lvl w:ilvl="5">
      <w:start w:val="1"/>
      <w:numFmt w:val="bullet"/>
      <w:lvlText w:val="●"/>
      <w:lvlJc w:val="start"/>
      <w:pPr>
        <w:tabs>
          <w:tab w:val="num" w:pos="0"/>
        </w:tabs>
        <w:ind w:start="4254" w:hanging="283"/>
      </w:pPr>
      <w:rPr>
        <w:rFonts w:ascii="Noto Sans Symbols" w:hAnsi="Noto Sans Symbols" w:cs="Noto Sans Symbols" w:hint="default"/>
      </w:rPr>
    </w:lvl>
    <w:lvl w:ilvl="6">
      <w:start w:val="1"/>
      <w:numFmt w:val="bullet"/>
      <w:lvlText w:val="●"/>
      <w:lvlJc w:val="start"/>
      <w:pPr>
        <w:tabs>
          <w:tab w:val="num" w:pos="0"/>
        </w:tabs>
        <w:ind w:start="4963" w:hanging="283"/>
      </w:pPr>
      <w:rPr>
        <w:rFonts w:ascii="Noto Sans Symbols" w:hAnsi="Noto Sans Symbols" w:cs="Noto Sans Symbols" w:hint="default"/>
      </w:rPr>
    </w:lvl>
    <w:lvl w:ilvl="7">
      <w:start w:val="1"/>
      <w:numFmt w:val="bullet"/>
      <w:lvlText w:val="●"/>
      <w:lvlJc w:val="start"/>
      <w:pPr>
        <w:tabs>
          <w:tab w:val="num" w:pos="0"/>
        </w:tabs>
        <w:ind w:start="5672" w:hanging="283"/>
      </w:pPr>
      <w:rPr>
        <w:rFonts w:ascii="Noto Sans Symbols" w:hAnsi="Noto Sans Symbols" w:cs="Noto Sans Symbols" w:hint="default"/>
      </w:rPr>
    </w:lvl>
    <w:lvl w:ilvl="8">
      <w:start w:val="1"/>
      <w:numFmt w:val="bullet"/>
      <w:lvlText w:val="●"/>
      <w:lvlJc w:val="start"/>
      <w:pPr>
        <w:tabs>
          <w:tab w:val="num" w:pos="0"/>
        </w:tabs>
        <w:ind w:start="6381" w:hanging="283"/>
      </w:pPr>
      <w:rPr>
        <w:rFonts w:ascii="Noto Sans Symbols" w:hAnsi="Noto Sans Symbols" w:cs="Noto Sans Symbols" w:hint="default"/>
      </w:rPr>
    </w:lvl>
  </w:abstractNum>
  <w:abstractNum w:abstractNumId="8">
    <w:lvl w:ilvl="0">
      <w:start w:val="1"/>
      <w:numFmt w:val="bullet"/>
      <w:lvlText w:val="●"/>
      <w:lvlJc w:val="start"/>
      <w:pPr>
        <w:tabs>
          <w:tab w:val="num" w:pos="0"/>
        </w:tabs>
        <w:ind w:start="709" w:hanging="283"/>
      </w:pPr>
      <w:rPr>
        <w:rFonts w:ascii="Noto Sans Symbols" w:hAnsi="Noto Sans Symbols" w:cs="Noto Sans Symbols" w:hint="default"/>
      </w:rPr>
    </w:lvl>
    <w:lvl w:ilvl="1">
      <w:start w:val="1"/>
      <w:numFmt w:val="bullet"/>
      <w:lvlText w:val="●"/>
      <w:lvlJc w:val="start"/>
      <w:pPr>
        <w:tabs>
          <w:tab w:val="num" w:pos="0"/>
        </w:tabs>
        <w:ind w:start="1418" w:hanging="283"/>
      </w:pPr>
      <w:rPr>
        <w:rFonts w:ascii="Noto Sans Symbols" w:hAnsi="Noto Sans Symbols" w:cs="Noto Sans Symbols" w:hint="default"/>
      </w:rPr>
    </w:lvl>
    <w:lvl w:ilvl="2">
      <w:start w:val="1"/>
      <w:numFmt w:val="bullet"/>
      <w:lvlText w:val="●"/>
      <w:lvlJc w:val="start"/>
      <w:pPr>
        <w:tabs>
          <w:tab w:val="num" w:pos="0"/>
        </w:tabs>
        <w:ind w:start="2127" w:hanging="283"/>
      </w:pPr>
      <w:rPr>
        <w:rFonts w:ascii="Noto Sans Symbols" w:hAnsi="Noto Sans Symbols" w:cs="Noto Sans Symbols" w:hint="default"/>
      </w:rPr>
    </w:lvl>
    <w:lvl w:ilvl="3">
      <w:start w:val="1"/>
      <w:numFmt w:val="bullet"/>
      <w:lvlText w:val="●"/>
      <w:lvlJc w:val="start"/>
      <w:pPr>
        <w:tabs>
          <w:tab w:val="num" w:pos="0"/>
        </w:tabs>
        <w:ind w:start="2836" w:hanging="283"/>
      </w:pPr>
      <w:rPr>
        <w:rFonts w:ascii="Noto Sans Symbols" w:hAnsi="Noto Sans Symbols" w:cs="Noto Sans Symbols" w:hint="default"/>
      </w:rPr>
    </w:lvl>
    <w:lvl w:ilvl="4">
      <w:start w:val="1"/>
      <w:numFmt w:val="bullet"/>
      <w:lvlText w:val="●"/>
      <w:lvlJc w:val="start"/>
      <w:pPr>
        <w:tabs>
          <w:tab w:val="num" w:pos="0"/>
        </w:tabs>
        <w:ind w:start="3545" w:hanging="283"/>
      </w:pPr>
      <w:rPr>
        <w:rFonts w:ascii="Noto Sans Symbols" w:hAnsi="Noto Sans Symbols" w:cs="Noto Sans Symbols" w:hint="default"/>
      </w:rPr>
    </w:lvl>
    <w:lvl w:ilvl="5">
      <w:start w:val="1"/>
      <w:numFmt w:val="bullet"/>
      <w:lvlText w:val="●"/>
      <w:lvlJc w:val="start"/>
      <w:pPr>
        <w:tabs>
          <w:tab w:val="num" w:pos="0"/>
        </w:tabs>
        <w:ind w:start="4254" w:hanging="283"/>
      </w:pPr>
      <w:rPr>
        <w:rFonts w:ascii="Noto Sans Symbols" w:hAnsi="Noto Sans Symbols" w:cs="Noto Sans Symbols" w:hint="default"/>
      </w:rPr>
    </w:lvl>
    <w:lvl w:ilvl="6">
      <w:start w:val="1"/>
      <w:numFmt w:val="bullet"/>
      <w:lvlText w:val="●"/>
      <w:lvlJc w:val="start"/>
      <w:pPr>
        <w:tabs>
          <w:tab w:val="num" w:pos="0"/>
        </w:tabs>
        <w:ind w:start="4963" w:hanging="283"/>
      </w:pPr>
      <w:rPr>
        <w:rFonts w:ascii="Noto Sans Symbols" w:hAnsi="Noto Sans Symbols" w:cs="Noto Sans Symbols" w:hint="default"/>
      </w:rPr>
    </w:lvl>
    <w:lvl w:ilvl="7">
      <w:start w:val="1"/>
      <w:numFmt w:val="bullet"/>
      <w:lvlText w:val="●"/>
      <w:lvlJc w:val="start"/>
      <w:pPr>
        <w:tabs>
          <w:tab w:val="num" w:pos="0"/>
        </w:tabs>
        <w:ind w:start="5672" w:hanging="283"/>
      </w:pPr>
      <w:rPr>
        <w:rFonts w:ascii="Noto Sans Symbols" w:hAnsi="Noto Sans Symbols" w:cs="Noto Sans Symbols" w:hint="default"/>
      </w:rPr>
    </w:lvl>
    <w:lvl w:ilvl="8">
      <w:start w:val="1"/>
      <w:numFmt w:val="bullet"/>
      <w:lvlText w:val="●"/>
      <w:lvlJc w:val="start"/>
      <w:pPr>
        <w:tabs>
          <w:tab w:val="num" w:pos="0"/>
        </w:tabs>
        <w:ind w:start="6381" w:hanging="283"/>
      </w:pPr>
      <w:rPr>
        <w:rFonts w:ascii="Noto Sans Symbols" w:hAnsi="Noto Sans Symbols" w:cs="Noto Sans Symbols" w:hint="default"/>
      </w:rPr>
    </w:lvl>
  </w:abstractNum>
  <w:abstractNum w:abstractNumId="9">
    <w:lvl w:ilvl="0">
      <w:start w:val="1"/>
      <w:numFmt w:val="bullet"/>
      <w:lvlText w:val="●"/>
      <w:lvlJc w:val="start"/>
      <w:pPr>
        <w:tabs>
          <w:tab w:val="num" w:pos="0"/>
        </w:tabs>
        <w:ind w:start="709" w:hanging="283"/>
      </w:pPr>
      <w:rPr>
        <w:rFonts w:ascii="Noto Sans Symbols" w:hAnsi="Noto Sans Symbols" w:cs="Noto Sans Symbols" w:hint="default"/>
      </w:rPr>
    </w:lvl>
    <w:lvl w:ilvl="1">
      <w:start w:val="1"/>
      <w:numFmt w:val="bullet"/>
      <w:lvlText w:val="●"/>
      <w:lvlJc w:val="start"/>
      <w:pPr>
        <w:tabs>
          <w:tab w:val="num" w:pos="0"/>
        </w:tabs>
        <w:ind w:start="1418" w:hanging="283"/>
      </w:pPr>
      <w:rPr>
        <w:rFonts w:ascii="Noto Sans Symbols" w:hAnsi="Noto Sans Symbols" w:cs="Noto Sans Symbols" w:hint="default"/>
      </w:rPr>
    </w:lvl>
    <w:lvl w:ilvl="2">
      <w:start w:val="1"/>
      <w:numFmt w:val="bullet"/>
      <w:lvlText w:val="●"/>
      <w:lvlJc w:val="start"/>
      <w:pPr>
        <w:tabs>
          <w:tab w:val="num" w:pos="0"/>
        </w:tabs>
        <w:ind w:start="2127" w:hanging="283"/>
      </w:pPr>
      <w:rPr>
        <w:rFonts w:ascii="Noto Sans Symbols" w:hAnsi="Noto Sans Symbols" w:cs="Noto Sans Symbols" w:hint="default"/>
      </w:rPr>
    </w:lvl>
    <w:lvl w:ilvl="3">
      <w:start w:val="1"/>
      <w:numFmt w:val="bullet"/>
      <w:lvlText w:val="●"/>
      <w:lvlJc w:val="start"/>
      <w:pPr>
        <w:tabs>
          <w:tab w:val="num" w:pos="0"/>
        </w:tabs>
        <w:ind w:start="2836" w:hanging="283"/>
      </w:pPr>
      <w:rPr>
        <w:rFonts w:ascii="Noto Sans Symbols" w:hAnsi="Noto Sans Symbols" w:cs="Noto Sans Symbols" w:hint="default"/>
      </w:rPr>
    </w:lvl>
    <w:lvl w:ilvl="4">
      <w:start w:val="1"/>
      <w:numFmt w:val="bullet"/>
      <w:lvlText w:val="●"/>
      <w:lvlJc w:val="start"/>
      <w:pPr>
        <w:tabs>
          <w:tab w:val="num" w:pos="0"/>
        </w:tabs>
        <w:ind w:start="3545" w:hanging="283"/>
      </w:pPr>
      <w:rPr>
        <w:rFonts w:ascii="Noto Sans Symbols" w:hAnsi="Noto Sans Symbols" w:cs="Noto Sans Symbols" w:hint="default"/>
      </w:rPr>
    </w:lvl>
    <w:lvl w:ilvl="5">
      <w:start w:val="1"/>
      <w:numFmt w:val="bullet"/>
      <w:lvlText w:val="●"/>
      <w:lvlJc w:val="start"/>
      <w:pPr>
        <w:tabs>
          <w:tab w:val="num" w:pos="0"/>
        </w:tabs>
        <w:ind w:start="4254" w:hanging="283"/>
      </w:pPr>
      <w:rPr>
        <w:rFonts w:ascii="Noto Sans Symbols" w:hAnsi="Noto Sans Symbols" w:cs="Noto Sans Symbols" w:hint="default"/>
      </w:rPr>
    </w:lvl>
    <w:lvl w:ilvl="6">
      <w:start w:val="1"/>
      <w:numFmt w:val="bullet"/>
      <w:lvlText w:val="●"/>
      <w:lvlJc w:val="start"/>
      <w:pPr>
        <w:tabs>
          <w:tab w:val="num" w:pos="0"/>
        </w:tabs>
        <w:ind w:start="4963" w:hanging="283"/>
      </w:pPr>
      <w:rPr>
        <w:rFonts w:ascii="Noto Sans Symbols" w:hAnsi="Noto Sans Symbols" w:cs="Noto Sans Symbols" w:hint="default"/>
      </w:rPr>
    </w:lvl>
    <w:lvl w:ilvl="7">
      <w:start w:val="1"/>
      <w:numFmt w:val="bullet"/>
      <w:lvlText w:val="●"/>
      <w:lvlJc w:val="start"/>
      <w:pPr>
        <w:tabs>
          <w:tab w:val="num" w:pos="0"/>
        </w:tabs>
        <w:ind w:start="5672" w:hanging="283"/>
      </w:pPr>
      <w:rPr>
        <w:rFonts w:ascii="Noto Sans Symbols" w:hAnsi="Noto Sans Symbols" w:cs="Noto Sans Symbols" w:hint="default"/>
      </w:rPr>
    </w:lvl>
    <w:lvl w:ilvl="8">
      <w:start w:val="1"/>
      <w:numFmt w:val="bullet"/>
      <w:lvlText w:val="●"/>
      <w:lvlJc w:val="start"/>
      <w:pPr>
        <w:tabs>
          <w:tab w:val="num" w:pos="0"/>
        </w:tabs>
        <w:ind w:start="6381" w:hanging="283"/>
      </w:pPr>
      <w:rPr>
        <w:rFonts w:ascii="Noto Sans Symbols" w:hAnsi="Noto Sans Symbols" w:cs="Noto Sans Symbols" w:hint="default"/>
      </w:rPr>
    </w:lvl>
  </w:abstractNum>
  <w:abstractNum w:abstractNumId="10">
    <w:lvl w:ilvl="0">
      <w:start w:val="1"/>
      <w:numFmt w:val="decimal"/>
      <w:lvlText w:val="%1."/>
      <w:lvlJc w:val="start"/>
      <w:pPr>
        <w:tabs>
          <w:tab w:val="num" w:pos="0"/>
        </w:tabs>
        <w:ind w:start="709" w:hanging="283"/>
      </w:pPr>
      <w:rPr/>
    </w:lvl>
    <w:lvl w:ilvl="1">
      <w:start w:val="1"/>
      <w:numFmt w:val="decimal"/>
      <w:lvlText w:val="%2."/>
      <w:lvlJc w:val="start"/>
      <w:pPr>
        <w:tabs>
          <w:tab w:val="num" w:pos="0"/>
        </w:tabs>
        <w:ind w:start="1418" w:hanging="283"/>
      </w:pPr>
      <w:rPr/>
    </w:lvl>
    <w:lvl w:ilvl="2">
      <w:start w:val="1"/>
      <w:numFmt w:val="decimal"/>
      <w:lvlText w:val="%3."/>
      <w:lvlJc w:val="start"/>
      <w:pPr>
        <w:tabs>
          <w:tab w:val="num" w:pos="0"/>
        </w:tabs>
        <w:ind w:start="2127" w:hanging="283"/>
      </w:pPr>
      <w:rPr/>
    </w:lvl>
    <w:lvl w:ilvl="3">
      <w:start w:val="1"/>
      <w:numFmt w:val="decimal"/>
      <w:lvlText w:val="%4."/>
      <w:lvlJc w:val="start"/>
      <w:pPr>
        <w:tabs>
          <w:tab w:val="num" w:pos="0"/>
        </w:tabs>
        <w:ind w:start="2836" w:hanging="283"/>
      </w:pPr>
      <w:rPr/>
    </w:lvl>
    <w:lvl w:ilvl="4">
      <w:start w:val="1"/>
      <w:numFmt w:val="decimal"/>
      <w:lvlText w:val="%5."/>
      <w:lvlJc w:val="start"/>
      <w:pPr>
        <w:tabs>
          <w:tab w:val="num" w:pos="0"/>
        </w:tabs>
        <w:ind w:start="3545" w:hanging="283"/>
      </w:pPr>
      <w:rPr/>
    </w:lvl>
    <w:lvl w:ilvl="5">
      <w:start w:val="1"/>
      <w:numFmt w:val="decimal"/>
      <w:lvlText w:val="%6."/>
      <w:lvlJc w:val="start"/>
      <w:pPr>
        <w:tabs>
          <w:tab w:val="num" w:pos="0"/>
        </w:tabs>
        <w:ind w:start="4254" w:hanging="283"/>
      </w:pPr>
      <w:rPr/>
    </w:lvl>
    <w:lvl w:ilvl="6">
      <w:start w:val="1"/>
      <w:numFmt w:val="decimal"/>
      <w:lvlText w:val="%7."/>
      <w:lvlJc w:val="start"/>
      <w:pPr>
        <w:tabs>
          <w:tab w:val="num" w:pos="0"/>
        </w:tabs>
        <w:ind w:start="4963" w:hanging="283"/>
      </w:pPr>
      <w:rPr/>
    </w:lvl>
    <w:lvl w:ilvl="7">
      <w:start w:val="1"/>
      <w:numFmt w:val="decimal"/>
      <w:lvlText w:val="%8."/>
      <w:lvlJc w:val="start"/>
      <w:pPr>
        <w:tabs>
          <w:tab w:val="num" w:pos="0"/>
        </w:tabs>
        <w:ind w:start="5672" w:hanging="283"/>
      </w:pPr>
      <w:rPr/>
    </w:lvl>
    <w:lvl w:ilvl="8">
      <w:start w:val="1"/>
      <w:numFmt w:val="decimal"/>
      <w:lvlText w:val="%9."/>
      <w:lvlJc w:val="start"/>
      <w:pPr>
        <w:tabs>
          <w:tab w:val="num" w:pos="0"/>
        </w:tabs>
        <w:ind w:start="6381" w:hanging="283"/>
      </w:pPr>
      <w:rPr/>
    </w:lvl>
  </w:abstractNum>
  <w:abstractNum w:abstractNumId="11">
    <w:lvl w:ilvl="0">
      <w:start w:val="1"/>
      <w:numFmt w:val="decimal"/>
      <w:lvlText w:val="%1."/>
      <w:lvlJc w:val="start"/>
      <w:pPr>
        <w:tabs>
          <w:tab w:val="num" w:pos="0"/>
        </w:tabs>
        <w:ind w:start="720" w:hanging="360"/>
      </w:pPr>
      <w:rPr>
        <w:rFonts w:ascii="Arial" w:hAnsi="Arial" w:eastAsia="Arial" w:cs="Arial"/>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s-MX" w:eastAsia="zh-CN" w:bidi="hi-IN"/>
      </w:rPr>
    </w:rPrDefault>
    <w:pPrDefault>
      <w:pPr>
        <w:suppressAutoHyphens w:val="true"/>
      </w:pPr>
    </w:pPrDefault>
  </w:docDefaults>
  <w:style w:type="paragraph" w:styleId="Normal">
    <w:name w:val="Normal"/>
    <w:qFormat/>
    <w:pPr>
      <w:widowControl/>
      <w:bidi w:val="0"/>
      <w:spacing w:before="0" w:after="0"/>
      <w:jc w:val="start"/>
    </w:pPr>
    <w:rPr>
      <w:rFonts w:ascii="Liberation Serif" w:hAnsi="Liberation Serif" w:eastAsia="Liberation Serif" w:cs="Liberation Serif"/>
      <w:color w:val="auto"/>
      <w:kern w:val="0"/>
      <w:sz w:val="24"/>
      <w:szCs w:val="24"/>
      <w:lang w:val="es-MX" w:eastAsia="zh-CN" w:bidi="hi-IN"/>
    </w:rPr>
  </w:style>
  <w:style w:type="paragraph" w:styleId="Heading1">
    <w:name w:val="heading 1"/>
    <w:basedOn w:val="normal1"/>
    <w:next w:val="normal1"/>
    <w:qFormat/>
    <w:pPr>
      <w:keepNext w:val="true"/>
      <w:spacing w:lineRule="auto" w:line="240" w:before="240" w:after="120"/>
    </w:pPr>
    <w:rPr>
      <w:rFonts w:ascii="Liberation Serif" w:hAnsi="Liberation Serif" w:eastAsia="Liberation Serif" w:cs="Liberation Serif"/>
      <w:b/>
      <w:bCs/>
      <w:sz w:val="48"/>
      <w:szCs w:val="48"/>
    </w:rPr>
  </w:style>
  <w:style w:type="paragraph" w:styleId="Heading2">
    <w:name w:val="heading 2"/>
    <w:basedOn w:val="normal1"/>
    <w:next w:val="normal1"/>
    <w:qFormat/>
    <w:pPr>
      <w:keepNext w:val="true"/>
      <w:spacing w:lineRule="auto" w:line="240" w:before="200" w:after="120"/>
    </w:pPr>
    <w:rPr>
      <w:rFonts w:ascii="Liberation Serif" w:hAnsi="Liberation Serif" w:eastAsia="Liberation Serif" w:cs="Liberation Serif"/>
      <w:b/>
      <w:bCs/>
      <w:sz w:val="36"/>
      <w:szCs w:val="36"/>
    </w:rPr>
  </w:style>
  <w:style w:type="paragraph" w:styleId="Heading3">
    <w:name w:val="heading 3"/>
    <w:basedOn w:val="normal1"/>
    <w:next w:val="normal1"/>
    <w:qFormat/>
    <w:pPr>
      <w:keepNext w:val="true"/>
      <w:spacing w:lineRule="auto" w:line="240" w:before="140" w:after="120"/>
    </w:pPr>
    <w:rPr>
      <w:rFonts w:ascii="Liberation Serif" w:hAnsi="Liberation Serif" w:eastAsia="Liberation Serif" w:cs="Liberation Serif"/>
      <w:b/>
      <w:bCs/>
      <w:sz w:val="28"/>
      <w:szCs w:val="28"/>
    </w:rPr>
  </w:style>
  <w:style w:type="paragraph" w:styleId="Heading4">
    <w:name w:val="heading 4"/>
    <w:basedOn w:val="normal1"/>
    <w:next w:val="normal1"/>
    <w:qFormat/>
    <w:pPr>
      <w:keepNext w:val="true"/>
      <w:spacing w:lineRule="auto" w:line="240" w:before="120" w:after="120"/>
    </w:pPr>
    <w:rPr>
      <w:rFonts w:ascii="Liberation Serif" w:hAnsi="Liberation Serif" w:eastAsia="Liberation Serif" w:cs="Liberation Serif"/>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Strong">
    <w:name w:val="Strong"/>
    <w:qFormat/>
    <w:rPr>
      <w:b/>
      <w:bCs/>
    </w:rPr>
  </w:style>
  <w:style w:type="character" w:styleId="Textooriginaluser">
    <w:name w:val="Texto original (user)"/>
    <w:qFormat/>
    <w:rPr>
      <w:rFonts w:ascii="Liberation Mono" w:hAnsi="Liberation Mono" w:eastAsia="NSimSun" w:cs="Liberation Mono"/>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paragraph" w:styleId="Ttulo">
    <w:name w:val="Título"/>
    <w:basedOn w:val="normal1"/>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Lucida Sans"/>
    </w:rPr>
  </w:style>
  <w:style w:type="paragraph" w:styleId="Caption">
    <w:name w:val="caption"/>
    <w:basedOn w:val="normal1"/>
    <w:qFormat/>
    <w:pPr>
      <w:suppressLineNumbers/>
      <w:spacing w:before="120" w:after="120"/>
    </w:pPr>
    <w:rPr>
      <w:rFonts w:cs="Lucida Sans"/>
      <w:i/>
      <w:iCs/>
      <w:sz w:val="24"/>
      <w:szCs w:val="24"/>
    </w:rPr>
  </w:style>
  <w:style w:type="paragraph" w:styleId="ndice">
    <w:name w:val="Índice"/>
    <w:basedOn w:val="normal1"/>
    <w:qFormat/>
    <w:pPr>
      <w:suppressLineNumbers/>
    </w:pPr>
    <w:rPr>
      <w:rFonts w:cs="Lucida Sans"/>
    </w:rPr>
  </w:style>
  <w:style w:type="paragraph" w:styleId="normal1" w:default="1">
    <w:name w:val="normal1"/>
    <w:qFormat/>
    <w:pPr>
      <w:widowControl/>
      <w:bidi w:val="0"/>
      <w:spacing w:before="0" w:after="0"/>
      <w:jc w:val="start"/>
    </w:pPr>
    <w:rPr>
      <w:rFonts w:ascii="Liberation Serif" w:hAnsi="Liberation Serif" w:eastAsia="Liberation Serif" w:cs="Liberation Serif"/>
      <w:color w:val="auto"/>
      <w:kern w:val="0"/>
      <w:sz w:val="24"/>
      <w:szCs w:val="24"/>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tulouser">
    <w:name w:val="Título (user)"/>
    <w:basedOn w:val="normal1"/>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1"/>
    <w:qFormat/>
    <w:pPr>
      <w:suppressLineNumbers/>
    </w:pPr>
    <w:rPr>
      <w:rFonts w:cs="Lucida Sans"/>
    </w:rPr>
  </w:style>
  <w:style w:type="paragraph" w:styleId="Lneahorizontaluser">
    <w:name w:val="Línea horizontal (user)"/>
    <w:basedOn w:val="normal1"/>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1"/>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Textopreformateadouser">
    <w:name w:val="Texto preformateado (user)"/>
    <w:basedOn w:val="normal1"/>
    <w:qFormat/>
    <w:pPr>
      <w:spacing w:before="0" w:after="0"/>
    </w:pPr>
    <w:rPr>
      <w:rFonts w:ascii="Liberation Mono" w:hAnsi="Liberation Mono" w:eastAsia="NSimSun" w:cs="Liberation Mono"/>
      <w:sz w:val="20"/>
      <w:szCs w:val="20"/>
    </w:rPr>
  </w:style>
  <w:style w:type="paragraph" w:styleId="Lneahorizontal">
    <w:name w:val="Línea horizontal"/>
    <w:basedOn w:val="normal1"/>
    <w:next w:val="BodyText"/>
    <w:qFormat/>
    <w:pPr>
      <w:suppressLineNumbers/>
      <w:pBdr>
        <w:bottom w:val="double" w:sz="2" w:space="0" w:color="808080"/>
      </w:pBdr>
      <w:spacing w:before="0" w:after="283"/>
    </w:pPr>
    <w:rPr>
      <w:sz w:val="12"/>
      <w:szCs w:val="12"/>
    </w:rPr>
  </w:style>
  <w:style w:type="paragraph" w:styleId="Citaenbloqueuser">
    <w:name w:val="Cita en bloque (user)"/>
    <w:basedOn w:val="normal1"/>
    <w:qFormat/>
    <w:pPr>
      <w:spacing w:before="0" w:after="283"/>
      <w:ind w:hanging="0" w:start="567" w:end="567"/>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cfe.mx/Aplicaciones/CCFE/Tarifas/TarifasCRECasa/Tarifas/TarifaDAC.aspx" TargetMode="External"/><Relationship Id="rId3" Type="http://schemas.openxmlformats.org/officeDocument/2006/relationships/hyperlink" Target="https://www.google.com/search?q=https://app.cfe.mx/Aplicaciones/CCFE/Tarifas/TarifasCRECasa/Acuerdos/DescargaAcuerdo.aspx&amp;authuser=1" TargetMode="External"/><Relationship Id="rId4" Type="http://schemas.openxmlformats.org/officeDocument/2006/relationships/hyperlink" Target="https://www.google.com/search?q=https://www.cfe.mx/hogar/infcliente/Pages/Tarifas.aspx&amp;authuser=1"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yZmOmMBnck4tgh+6KWoQG9ABXcQ==">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LibreOffice/26.2.1.2$Windows_X86_64 LibreOffice_project/620$Build-2</Application>
  <AppVersion>15.0000</AppVersion>
  <Pages>12</Pages>
  <Words>2155</Words>
  <Characters>11065</Characters>
  <CharactersWithSpaces>12873</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2025-12-25T14:42:25Z</dcterms:created>
  <dc:creator/>
  <dc:description/>
  <dc:language>es-MX</dc:language>
  <cp:lastModifiedBy/>
  <dcterms:modified xsi:type="dcterms:W3CDTF">2026-03-12T21:21:10Z</dcterms:modified>
  <cp:revision>3</cp:revision>
  <dc:subject/>
  <dc:title/>
</cp:coreProperties>
</file>