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UAE 시장보고서 — Omethyl Cutielet</w:t>
      </w:r>
    </w:p>
    <w:p>
      <w:r>
        <w:rPr>
          <w:b w:val="0"/>
          <w:sz w:val="20"/>
        </w:rPr>
        <w:t>Omethyl Cutielet (Omega-3-Acid Ethyl Esters 90 2g)  |  UAE  |  2026-04-23</w:t>
      </w:r>
    </w:p>
    <w:p>
      <w:r>
        <w:rPr>
          <w:b/>
          <w:color w:val="1B2A4A"/>
          <w:sz w:val="28"/>
        </w:rPr>
        <w:t>1. 의료 거시환경 파악</w:t>
      </w:r>
    </w:p>
    <w:p>
      <w:r>
        <w:rPr>
          <w:b/>
          <w:sz w:val="20"/>
        </w:rPr>
        <w:t xml:space="preserve">인구  </w:t>
      </w:r>
      <w:r>
        <w:rPr>
          <w:sz w:val="20"/>
        </w:rPr>
        <w:t>약 10,000,000명 (World Bank, 2024)</w:t>
      </w:r>
    </w:p>
    <w:p>
      <w:r>
        <w:rPr>
          <w:b/>
          <w:sz w:val="20"/>
        </w:rPr>
        <w:t xml:space="preserve">1인당 GDP  </w:t>
      </w:r>
      <w:r>
        <w:rPr>
          <w:sz w:val="20"/>
        </w:rPr>
        <w:t>USD 43,103 (IMF 2024)</w:t>
      </w:r>
    </w:p>
    <w:p>
      <w:r>
        <w:rPr>
          <w:b/>
          <w:sz w:val="20"/>
        </w:rPr>
        <w:t xml:space="preserve">의약품 시장 규모  </w:t>
      </w:r>
      <w:r>
        <w:rPr>
          <w:sz w:val="20"/>
        </w:rPr>
        <w:t>USD 5.2 Billion (2024 추산, IQVIA)</w:t>
      </w:r>
    </w:p>
    <w:p>
      <w:r>
        <w:rPr>
          <w:b/>
          <w:sz w:val="20"/>
        </w:rPr>
        <w:t xml:space="preserve">보건 지출  </w:t>
      </w:r>
      <w:r>
        <w:rPr>
          <w:sz w:val="20"/>
        </w:rPr>
        <w:t>GDP 대비 약 4.5% (WHO, 2023)</w:t>
      </w:r>
    </w:p>
    <w:p/>
    <w:p>
      <w:r>
        <w:rPr>
          <w:b w:val="0"/>
          <w:sz w:val="20"/>
        </w:rPr>
        <w:t>아랍에미리트는 유병률 높은 대사증후군·당뇨병 인구(전체 인구 약 15~20%)를 보유하고 있으며, 이 중 고중성지방혈증은 관상동맥질환 고위험군에서 임상적 중요도가 높다. 현재 EDE 등록 상태 데이터(신뢰도 0.8, kup_pipeline 출처)에서 이 제품이 파이프라인에 있는 것으로 기록되어 있으나 공식 승인 여부는 확인 대기 상태이다. 소매 채널을 통한 직접 판매는 의료 전문가 처방 기반의 제한적 접근성(Daman Health 지침: 전문의 처방, 1차 요법 제외)을 반영한다.</w:t>
      </w:r>
    </w:p>
    <w:p>
      <w:r>
        <w:rPr>
          <w:b/>
          <w:color w:val="1B2A4A"/>
          <w:sz w:val="28"/>
        </w:rPr>
        <w:t>2. 무역/규제 환경</w:t>
      </w:r>
    </w:p>
    <w:p>
      <w:r>
        <w:rPr>
          <w:b/>
          <w:color w:val="1B2A4A"/>
          <w:sz w:val="22"/>
        </w:rPr>
        <w:t>▸ EDE 등록 현황</w:t>
      </w:r>
    </w:p>
    <w:p>
      <w:r>
        <w:rPr>
          <w:b w:val="0"/>
          <w:sz w:val="20"/>
        </w:rPr>
        <w:t>Emirates Drug Establishment(EDE, 2023년 9월 29일 설립)은 UAE 연방 차원의 유일한 의약품 규제 기관으로, Federal Decree-Law No. (38) of 2024에 따라 모든 의약품 신규 허가를 관할한다. 현재 공개 자료에서 Omethyl Cutielet에 대한 EDE 승인 기록이 발견되지 않으므로, eCTD Full dossier 경로를 통한 신청이 필수적이며 에미리트 내 공인 약사 진행사(Qualified Person, QP)의 이행이 요구된다. Daman Health 2025 보장 지침(발효일 2025년 6월 16일, 개정일 2025년 5월 13일)에서 제네릭 오메가-3-에틸 에스터에 대해 엄격한 1차 비사용·전문의 처방 의무·단계적 요법 및 중성지방 감소 근거 수집 기준을 명시함으로써, 일단 EDE 등록 후에는 보험 보장 경로 진입이 현실적이다.</w:t>
      </w:r>
    </w:p>
    <w:p>
      <w:r>
        <w:rPr>
          <w:b/>
          <w:color w:val="1B2A4A"/>
          <w:sz w:val="22"/>
        </w:rPr>
        <w:t>▸ 진입 채널 권고</w:t>
      </w:r>
    </w:p>
    <w:p>
      <w:r>
        <w:rPr>
          <w:b w:val="0"/>
          <w:sz w:val="20"/>
        </w:rPr>
        <w:t>권장 진입 경로는 EDE eCTD Full dossier 신청(현재 등록 기록 부재)이며, 신청 시 내약(in-vivo bioequivalence) 또는 동등성 근거가 선행되어야 한다. EDE 승인 획득 후 Tatmeen 플랫폼 GS1 등록 및 포우치 제형 바코딩 준수를 완료하고, 동시에 민간 소매(약국)와 공공 조달(Rafed/ADGPG) 채널을 병행한다. 공공조달 입찰 진입 시 UAE 국내 유통업체 또는 약사 파트너(ICV 점수 부여 자격)의 협력이 권고되며, Daman Health 보장 기준(≥500 mg/dL, 전문의 처방)에 부합하는 마케팅 및 의료진 교육 전략이 필수적이다.</w:t>
      </w:r>
    </w:p>
    <w:p>
      <w:r>
        <w:rPr>
          <w:b/>
          <w:color w:val="1B2A4A"/>
          <w:sz w:val="22"/>
        </w:rPr>
        <w:t>▸ 관세 및 무역</w:t>
      </w:r>
    </w:p>
    <w:p>
      <w:r>
        <w:rPr>
          <w:b w:val="0"/>
          <w:sz w:val="20"/>
        </w:rPr>
        <w:t>Tatmeen(UAE 연방 약품 조달 플랫폼)은 모든 이차 포장에 GS1 DataMatrix 바코드(GTIN·일련번호·배치번호·유통기한 4요소 포함) 의무화를 요구하며, 포우ches 제형의 경우 이 준수 여부가 공공 및 민간 유통망 접근성에 영향을 미친다. Rafed(아부다비 정부조달청) 및 ADGPG(아부다비 보건청 약품 공급망) 입찰 주기는 일반적으로 분기별 또는 반기별 진행되므로, SEHA 병원 공급 진입은 EDE 등록 후 입찰 참여 등록과 국내 가치(ICV, Local Content Value) 점수 달성(UAE 국내 파트너 협력)을 통해 추진 가능하다. 공식 참조 가격 리스트(DoH/DHA)에서 이 브랜드의 AED 정가가 현재 공표되지 않아, 경쟁 제품(Lovaza, Vascepa 등 원개발사 의약품)과의 가격 벤치마킹을 위한 추가 시장 조사가 필수적이다.</w:t>
      </w:r>
    </w:p>
    <w:p>
      <w:r>
        <w:rPr>
          <w:b/>
          <w:color w:val="1B2A4A"/>
          <w:sz w:val="28"/>
        </w:rPr>
        <w:t>3. 참고 가격</w:t>
      </w:r>
    </w:p>
    <w:p>
      <w:r>
        <w:rPr>
          <w:b w:val="0"/>
          <w:sz w:val="20"/>
        </w:rPr>
        <w:t>공식 DoH 아부다비 또는 DHA 두바이 참조 가격 리스트에 Omethyl Cutielet의 정가가 현재 공표되지 않아 직접 벤치마킹은 추가 확인이 필요하다. 그러나 글로벌 시장에서 원개발사 제품(Lovaza: 전형적으로 AED 200~350/팩 범위, 고용량 제형)과 경쟁 제네릭 구성 성분(오메가-3-에틸 에스터 90%)의 가격은 일반적으로 원개발사 대비 30~50% 저가 포지셔닝을 목표로 한다. UAE 소매 약국 채널에서는 대사증후군·당뇨병 관리 약제로 소비자 수가 증가 중이므로, Daman Health 보장 기준 부합을 강조한 의료진 설득 및 합리적 가격 포지셔닝(추정 AED 120~220/팩)이 시장 진입 시 경쟁력 확보 전략이 될 수 있다.</w:t>
      </w:r>
    </w:p>
    <w:p>
      <w:r>
        <w:rPr>
          <w:b/>
          <w:color w:val="1B2A4A"/>
          <w:sz w:val="28"/>
        </w:rPr>
        <w:t>4. 리스크 / 조건</w:t>
      </w:r>
    </w:p>
    <w:p>
      <w:r>
        <w:rPr>
          <w:b w:val="0"/>
          <w:sz w:val="20"/>
        </w:rPr>
        <w:t>주요 리스크는 (1) EDE 등록 미달성 시 시장 진입 불가, (2) 포우치 제형의 Tatmeen GS1 준수 실패 시 공공조달 채널 배제, (3) Lovaza·Vascepa 등 기존 경쟁 제품의 시장 점유율 높음으로 인한 가격 및 임상적 입지 축소 위험이 있다. 또한 Daman Health 보장 기준이 엄격(≥500 mg/dL, 전문의 처방 필수, 단계적 요법)하므로, 실제 보험 환자 처방량은 초기에 제한적일 수 있으며, 이에 따라 소매 약국 중심의 직접 판매 및 민간병원 채널 개발이 초기 진입 전략의 핵심이 될 것으로 예상된다. 공공조달 진입을 위해서는 UAE 국내 파트너와의 협력(ICV 점수 달성)이 필요할 가능성이 높다.</w:t>
      </w:r>
    </w:p>
    <w:p>
      <w:r>
        <w:rPr>
          <w:b/>
          <w:color w:val="1B2A4A"/>
          <w:sz w:val="22"/>
        </w:rPr>
        <w:t>▸ Tatmeen 준수사항</w:t>
      </w:r>
    </w:p>
    <w:p>
      <w:r>
        <w:rPr>
          <w:b w:val="0"/>
          <w:sz w:val="20"/>
        </w:rPr>
        <w:t>Tatmeen GS1 DataMatrix 2차 포장 바코드 의무화 규정에 따라, Omethyl Cutielet 포우치 제형은 반드시 GTIN(국제 상품번호)·일련번호(Serial Number)·배치번호(Batch Number)·유통기한(Expiry Date) 4요소를 포함한 DataMatrix 바코드를 부착해야 한다. 현재 제조·포장 시설의 Tatmeen 준수 현황 및 포우치 라벨 스펙 적합성(인쇄 품질·가독성)을 EDE 등록 신청 전 검증하는 것이 필수적이다.</w:t>
      </w:r>
    </w:p>
    <w:p>
      <w:r>
        <w:rPr>
          <w:b/>
          <w:color w:val="1B2A4A"/>
          <w:sz w:val="28"/>
        </w:rPr>
        <w:t>5. 근거 및 출처</w:t>
      </w:r>
    </w:p>
    <w:p>
      <w:r>
        <w:rPr>
          <w:b/>
          <w:color w:val="1B2A4A"/>
          <w:sz w:val="22"/>
        </w:rPr>
        <w:t>▸ 5-1. 참조 출처</w:t>
      </w:r>
    </w:p>
    <w:p>
      <w:r>
        <w:rPr>
          <w:b/>
          <w:sz w:val="18"/>
        </w:rPr>
        <w:t>No.1  UAE 내부 저장 데이터: kup_pipeline (Omethyl Cutielet, 신뢰도 0.8)</w:t>
      </w:r>
    </w:p>
    <w:p>
      <w:r>
        <w:rPr>
          <w:b/>
          <w:sz w:val="18"/>
        </w:rPr>
        <w:t>No.2  EDE 의약품 디렉토리 검색</w:t>
      </w:r>
    </w:p>
    <w:p>
      <w:r>
        <w:rPr>
          <w:b w:val="0"/>
          <w:sz w:val="16"/>
        </w:rPr>
        <w:t>출처: https://ede.gov.ae/en/Products/SearchProduct?query=Omega-3-Acid+Ethyl+Esters+90+2g</w:t>
      </w:r>
    </w:p>
    <w:p>
      <w:r>
        <w:rPr>
          <w:b/>
          <w:sz w:val="18"/>
        </w:rPr>
        <w:t>No.3  Perplexity 실시간 컨텍스트: EDE/DoH/DHA/Tatmeen 규제·시장 현황</w:t>
      </w:r>
    </w:p>
    <w:p>
      <w:r>
        <w:rPr>
          <w:b w:val="0"/>
          <w:sz w:val="16"/>
        </w:rPr>
        <w:t>출처: 실시간 검색 결과</w:t>
      </w:r>
    </w:p>
    <w:p>
      <w:r>
        <w:rPr>
          <w:b/>
          <w:sz w:val="18"/>
        </w:rPr>
        <w:t>No.4  Daman Health 2025 보장 지침 (발효 2025년 6월 16일, 개정 2025년 5월 13일)</w:t>
      </w:r>
    </w:p>
    <w:p>
      <w:r>
        <w:rPr>
          <w:b w:val="0"/>
          <w:sz w:val="16"/>
        </w:rPr>
        <w:t>출처: 내부 데이터 (공식 Daman Health 규정)</w:t>
      </w:r>
    </w:p>
    <w:p>
      <w:r>
        <w:rPr>
          <w:b/>
          <w:sz w:val="18"/>
        </w:rPr>
        <w:t>No.5  Federal Decree-Law No. (38) of 2024 (의약품 규제)</w:t>
      </w:r>
    </w:p>
    <w:p>
      <w:r>
        <w:rPr>
          <w:b w:val="0"/>
          <w:sz w:val="16"/>
        </w:rPr>
        <w:t>출처: UAE 연방법령</w:t>
      </w:r>
    </w:p>
    <w:p>
      <w:r>
        <w:rPr>
          <w:b/>
          <w:color w:val="1B2A4A"/>
          <w:sz w:val="22"/>
        </w:rPr>
        <w:t>▸ 5-2. 사용된 DB/기관</w:t>
      </w:r>
    </w:p>
    <w:p>
      <w:r>
        <w:rPr>
          <w:b w:val="0"/>
          <w:sz w:val="18"/>
        </w:rPr>
        <w:t>•  EDE Therapeutic Products Register — UAE 공식 의약품 등록 DB</w:t>
      </w:r>
    </w:p>
    <w:p>
      <w:r>
        <w:rPr>
          <w:b w:val="0"/>
          <w:sz w:val="18"/>
        </w:rPr>
        <w:t>•  DoH Abu Dhabi 참조 가격 리스트 — AED 약국공급가</w:t>
      </w:r>
    </w:p>
    <w:p>
      <w:r>
        <w:rPr>
          <w:b w:val="0"/>
          <w:sz w:val="18"/>
        </w:rPr>
        <w:t>•  DHA Dubai 약가표 — AED 기준 POM/OTC 분류</w:t>
      </w:r>
    </w:p>
    <w:p>
      <w:r>
        <w:rPr>
          <w:b w:val="0"/>
          <w:sz w:val="18"/>
        </w:rPr>
        <w:t>•  Aster Pharmacy 소매가 — UAE 민간 약국 실시간 소매가격</w:t>
      </w:r>
    </w:p>
    <w:p>
      <w:r>
        <w:rPr>
          <w:b w:val="0"/>
          <w:sz w:val="18"/>
        </w:rPr>
        <w:t>•  Rafed/ADGPG — UAE 공공 의료조달 플랫폼</w:t>
      </w:r>
    </w:p>
    <w:p>
      <w:r>
        <w:rPr>
          <w:b w:val="0"/>
          <w:sz w:val="18"/>
        </w:rPr>
        <w:t>•  Tatmeen GS1 — 의약품 추적 포털</w:t>
      </w:r>
    </w:p>
    <w:p>
      <w:r>
        <w:rPr>
          <w:b w:val="0"/>
          <w:sz w:val="18"/>
        </w:rPr>
        <w:t>•  Perplexity 실시간 규제·시장 정보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