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UAE 시장보고서 — Sereterol Activair</w:t>
      </w:r>
    </w:p>
    <w:p>
      <w:r>
        <w:rPr>
          <w:b w:val="0"/>
          <w:sz w:val="20"/>
        </w:rPr>
        <w:t>Sereterol Activair (Fluticasone/Salmeterol)  |  UAE  |  2026-04-23</w:t>
      </w:r>
    </w:p>
    <w:p>
      <w:r>
        <w:rPr>
          <w:b/>
          <w:color w:val="1B2A4A"/>
          <w:sz w:val="28"/>
        </w:rPr>
        <w:t>1. 의료 거시환경 파악</w:t>
      </w:r>
    </w:p>
    <w:p>
      <w:r>
        <w:rPr>
          <w:b/>
          <w:sz w:val="20"/>
        </w:rPr>
        <w:t xml:space="preserve">인구  </w:t>
      </w:r>
      <w:r>
        <w:rPr>
          <w:sz w:val="20"/>
        </w:rPr>
        <w:t>약 10,000,000명 (World Bank, 2024)</w:t>
      </w:r>
    </w:p>
    <w:p>
      <w:r>
        <w:rPr>
          <w:b/>
          <w:sz w:val="20"/>
        </w:rPr>
        <w:t xml:space="preserve">1인당 GDP  </w:t>
      </w:r>
      <w:r>
        <w:rPr>
          <w:sz w:val="20"/>
        </w:rPr>
        <w:t>USD 43,103 (IMF 2024)</w:t>
      </w:r>
    </w:p>
    <w:p>
      <w:r>
        <w:rPr>
          <w:b/>
          <w:sz w:val="20"/>
        </w:rPr>
        <w:t xml:space="preserve">의약품 시장 규모  </w:t>
      </w:r>
      <w:r>
        <w:rPr>
          <w:sz w:val="20"/>
        </w:rPr>
        <w:t>USD 5.2 Billion (2024 추산, IQVIA)</w:t>
      </w:r>
    </w:p>
    <w:p>
      <w:r>
        <w:rPr>
          <w:b/>
          <w:sz w:val="20"/>
        </w:rPr>
        <w:t xml:space="preserve">보건 지출  </w:t>
      </w:r>
      <w:r>
        <w:rPr>
          <w:sz w:val="20"/>
        </w:rPr>
        <w:t>GDP 대비 약 4.5% (WHO, 2023)</w:t>
      </w:r>
    </w:p>
    <w:p/>
    <w:p>
      <w:r>
        <w:rPr>
          <w:b w:val="0"/>
          <w:sz w:val="20"/>
        </w:rPr>
        <w:t>UAE의 만성호흡기질환(천식, COPD) 유병률은 GCC 평균을 상회하며, 특히 아부다비와 두바이의 도시화 지역에서 증가 추세를 보인다. Fluticasone/Salmeterol 흡입제는 중증 천식 및 COPD 환자의 일차·이차 유지 치료로서 필수 약물로 인정되고 있으며, 현지 의료 인프라(SEHA, DHA 네트워크)에서 지속적인 수요가 존재한다.</w:t>
      </w:r>
    </w:p>
    <w:p>
      <w:r>
        <w:rPr>
          <w:b/>
          <w:color w:val="1B2A4A"/>
          <w:sz w:val="28"/>
        </w:rPr>
        <w:t>2. 무역/규제 환경</w:t>
      </w:r>
    </w:p>
    <w:p>
      <w:r>
        <w:rPr>
          <w:b/>
          <w:color w:val="1B2A4A"/>
          <w:sz w:val="22"/>
        </w:rPr>
        <w:t>▸ EDE 등록 현황</w:t>
      </w:r>
    </w:p>
    <w:p>
      <w:r>
        <w:rPr>
          <w:b w:val="0"/>
          <w:sz w:val="20"/>
        </w:rPr>
        <w:t>EDE 의약품 디렉토리 기준, Sereterol Activair의 현재 등재 상태가 공식 확인 데이터로 현재 확보된 범위에서 신규 또는 복합제 등록 경로(eCTD Full Dossier 또는 Abridged 동등성 심사)를 통한 사전 승인이 필수적이다. MOHAP 통제 의약품 스케줄(Federal Decree-Law No. 30/2021)에서 Fluticasone/Salmeterol은 의사 처방약(Rx)으로 분류되며, Tatmeen GS1 DataMatrix 2차 포장 바코드(GTIN, 일련번호, 배치번호, 유통기한 4요소)의 완전 준수가 필수 조건이다.</w:t>
      </w:r>
    </w:p>
    <w:p>
      <w:r>
        <w:rPr>
          <w:b/>
          <w:color w:val="1B2A4A"/>
          <w:sz w:val="22"/>
        </w:rPr>
        <w:t>▸ 진입 채널 권고</w:t>
      </w:r>
    </w:p>
    <w:p>
      <w:r>
        <w:rPr>
          <w:b w:val="0"/>
          <w:sz w:val="20"/>
        </w:rPr>
        <w:t>EDE eCTD Abridged(동등성 심사, 해당 시 조건: Bioequivalence 데이터 제출) 또는 Full Dossier(신규 승인)을 우선 추진하고, 승인 후 DoH/DHA 의약품 승인 등재, Tatmeen 바코드 적용, Rafed 공공 조달 입찰 신청 순서로 진행. 소매 채널(약국) 진입은 EDE 승인 후 현지 유통사 파트너십을 통해 병행.</w:t>
      </w:r>
    </w:p>
    <w:p>
      <w:r>
        <w:rPr>
          <w:b/>
          <w:color w:val="1B2A4A"/>
          <w:sz w:val="22"/>
        </w:rPr>
        <w:t>▸ 관세 및 무역</w:t>
      </w:r>
    </w:p>
    <w:p>
      <w:r>
        <w:rPr>
          <w:b w:val="0"/>
          <w:sz w:val="20"/>
        </w:rPr>
        <w:t>DoH 아부다비 참조 가격 리스트에서 동일 성분 흡입제(FLIXOTIDE DISKUS AED 48.70, FLOHALE AED 54.87 등)가 등재되어 있으며, 이는 현지 약국 공급가 수준과 경쟁 구도를 시사한다. Rafed/ADGPG 공공 조달 입찰 참여는 SEHA 병원 체인 공급의 주요 채널이나, 신규 제품의 경우 국내 가치(ICV) 요건 충족 또는 현지 파트너(EDA, 원료약 로컬 제조) 확보가 선행되어야 한다.</w:t>
      </w:r>
    </w:p>
    <w:p>
      <w:r>
        <w:rPr>
          <w:b/>
          <w:color w:val="1B2A4A"/>
          <w:sz w:val="28"/>
        </w:rPr>
        <w:t>3. 참고 가격</w:t>
      </w:r>
    </w:p>
    <w:p>
      <w:r>
        <w:rPr>
          <w:b w:val="0"/>
          <w:sz w:val="18"/>
        </w:rPr>
        <w:t>참조 가격 데이터 (30건 매칭, 성분: Fluticasone/Salmeterol):</w:t>
      </w:r>
    </w:p>
    <w:p>
      <w:r>
        <w:rPr>
          <w:b w:val="0"/>
          <w:sz w:val="18"/>
        </w:rPr>
        <w:t>- DYMISTA | 제조사: MEDA Pharma GmbH &amp; Co. KG, GERMANY | 약국공급가 AED 97.07 | 일반의약품(OTC) | [출처: DoH Abu Dhabi]</w:t>
      </w:r>
    </w:p>
    <w:p>
      <w:r>
        <w:rPr>
          <w:b w:val="0"/>
          <w:sz w:val="18"/>
        </w:rPr>
        <w:t>- AVAMYS | 제조사: Glaxo Operations UK Ltd., UNITED KINGDOM | 약국공급가 AED 69.64 | 일반의약품(OTC) | [출처: DoH Abu Dhabi]</w:t>
      </w:r>
    </w:p>
    <w:p>
      <w:r>
        <w:rPr>
          <w:b w:val="0"/>
          <w:sz w:val="18"/>
        </w:rPr>
        <w:t>- CUTIVATE | 제조사: Glaxo Operations UK Ltd., UNITED KINGDOM | 약국공급가 AED 5.11 | 일반의약품(OTC) | [출처: DoH Abu Dhabi]</w:t>
      </w:r>
    </w:p>
    <w:p>
      <w:r>
        <w:rPr>
          <w:b w:val="0"/>
          <w:sz w:val="18"/>
        </w:rPr>
        <w:t>- FLUTIDERM | 제조사: Medpharma Pharma. &amp; Chem. Ind's (L.L.C), U.A.E | 약국공급가 AED 10.82 | 일반의약품(OTC) | [출처: DoH Abu Dhabi]</w:t>
      </w:r>
    </w:p>
    <w:p>
      <w:r>
        <w:rPr>
          <w:b w:val="0"/>
          <w:sz w:val="18"/>
        </w:rPr>
        <w:t>- POTENCORT | 제조사: Julphar (Gulf Pharmaceutical Industries), U.A.E | 약국공급가 AED 10.82 | 일반의약품(OTC) | [출처: DoH Abu Dhabi]</w:t>
      </w:r>
    </w:p>
    <w:p>
      <w:r>
        <w:rPr>
          <w:b w:val="0"/>
          <w:sz w:val="18"/>
        </w:rPr>
        <w:t>- FLIXOTIDE | 제조사: GlaxoSmithKline Australia (Pty) Ltd., AUSTRALIA | 약국공급가 AED 51.32 | 일반의약품(OTC) | [출처: DoH Abu Dhabi]</w:t>
      </w:r>
    </w:p>
    <w:p>
      <w:r>
        <w:rPr>
          <w:b w:val="0"/>
          <w:sz w:val="18"/>
        </w:rPr>
        <w:t>- FLOHALE | 제조사: Cipla Ltd., INDIA | 약국공급가 AED 54.87 | 일반의약품(OTC) | [출처: DoH Abu Dhabi]</w:t>
      </w:r>
    </w:p>
    <w:p>
      <w:r>
        <w:rPr>
          <w:b w:val="0"/>
          <w:sz w:val="18"/>
        </w:rPr>
        <w:t>- FLIXOTIDE DISKUS | 제조사: Glaxo Wellcome Production, FRANCE | 약국공급가 AED 48.70 | 일반의약품(OTC) | [출처: DoH Abu Dhabi]</w:t>
      </w:r>
    </w:p>
    <w:p>
      <w:r>
        <w:rPr>
          <w:b/>
          <w:color w:val="1B2A4A"/>
          <w:sz w:val="28"/>
        </w:rPr>
        <w:t>4. 리스크 / 조건</w:t>
      </w:r>
    </w:p>
    <w:p>
      <w:r>
        <w:rPr>
          <w:b w:val="0"/>
          <w:sz w:val="20"/>
        </w:rPr>
        <w:t>주요 리스크는 (1) EDE 등록 심사 기간(일반적으로 6~12개월) 동안의 시장 진입 지연, (2) Originator Seretide와 기존 일반제(FLIXOTIDE, FLOHALE) 간 시장 점유율 경쟁, (3) 흡입제로서의 의료진 교육 및 환자 순응도 관리 필요성이 있다. 조건으로서 현지 유통 파트너(약사, 의료기관 구매담당자)와의 사전 네트워크 구축 및 Tatmeen 바코드 시스템 조기 완성이 권장된다.</w:t>
      </w:r>
    </w:p>
    <w:p>
      <w:r>
        <w:rPr>
          <w:b/>
          <w:color w:val="1B2A4A"/>
          <w:sz w:val="22"/>
        </w:rPr>
        <w:t>▸ Tatmeen 준수사항</w:t>
      </w:r>
    </w:p>
    <w:p>
      <w:r>
        <w:rPr>
          <w:b w:val="0"/>
          <w:sz w:val="20"/>
        </w:rPr>
        <w:t>UAE 의약품 유통 통제 규정에 따라 2차 포장(상자, 블리스터)에 GS1 DataMatrix 바코드가 의무화되어 있으며, GTIN(Global Trade Item Number), 제품 일련번호, 배치번호, 유통기한 4요소가 모두 포함되어야 한다. 제조 단계에서의 바코드 인쇄 및 Tatmeen 시스템과의 사전 등록이 필수 선행 조건이다.</w:t>
      </w:r>
    </w:p>
    <w:p>
      <w:r>
        <w:rPr>
          <w:b/>
          <w:color w:val="1B2A4A"/>
          <w:sz w:val="28"/>
        </w:rPr>
        <w:t>5. 근거 및 출처</w:t>
      </w:r>
    </w:p>
    <w:p>
      <w:r>
        <w:rPr>
          <w:b/>
          <w:color w:val="1B2A4A"/>
          <w:sz w:val="22"/>
        </w:rPr>
        <w:t>▸ 5-1. 참조 출처</w:t>
      </w:r>
    </w:p>
    <w:p>
      <w:r>
        <w:rPr>
          <w:b/>
          <w:sz w:val="18"/>
        </w:rPr>
        <w:t>No.1  EDE 의약품 디렉토리</w:t>
      </w:r>
    </w:p>
    <w:p>
      <w:r>
        <w:rPr>
          <w:b w:val="0"/>
          <w:sz w:val="16"/>
        </w:rPr>
        <w:t>출처: https://ede.gov.ae/en/Products/SearchProduct?query=Fluticasone/Salmeterol</w:t>
      </w:r>
    </w:p>
    <w:p>
      <w:r>
        <w:rPr>
          <w:b/>
          <w:sz w:val="18"/>
        </w:rPr>
        <w:t>No.2  DoH Abu Dhabi 참조 가격 리스트 (내부 데이터)</w:t>
      </w:r>
    </w:p>
    <w:p>
      <w:r>
        <w:rPr>
          <w:b/>
          <w:sz w:val="18"/>
        </w:rPr>
        <w:t>No.3  UAE MOHAP Federal Decree-Law No. 30/2021 (의약품 규제)</w:t>
      </w:r>
    </w:p>
    <w:p>
      <w:r>
        <w:rPr>
          <w:b/>
          <w:sz w:val="18"/>
        </w:rPr>
        <w:t>No.4  Tatmeen 의약품 유통 통제 시스템 (UAE)</w:t>
      </w:r>
    </w:p>
    <w:p>
      <w:r>
        <w:rPr>
          <w:b/>
          <w:color w:val="1B2A4A"/>
          <w:sz w:val="22"/>
        </w:rPr>
        <w:t>▸ 5-2. 사용된 DB/기관</w:t>
      </w:r>
    </w:p>
    <w:p>
      <w:r>
        <w:rPr>
          <w:b w:val="0"/>
          <w:sz w:val="18"/>
        </w:rPr>
        <w:t>•  EDE Therapeutic Products Register — UAE 공식 의약품 등록 DB</w:t>
      </w:r>
    </w:p>
    <w:p>
      <w:r>
        <w:rPr>
          <w:b w:val="0"/>
          <w:sz w:val="18"/>
        </w:rPr>
        <w:t>•  DoH Abu Dhabi 참조 가격 리스트 — AED 약국공급가</w:t>
      </w:r>
    </w:p>
    <w:p>
      <w:r>
        <w:rPr>
          <w:b w:val="0"/>
          <w:sz w:val="18"/>
        </w:rPr>
        <w:t>•  DHA Dubai 약가표 — AED 기준 POM/OTC 분류</w:t>
      </w:r>
    </w:p>
    <w:p>
      <w:r>
        <w:rPr>
          <w:b w:val="0"/>
          <w:sz w:val="18"/>
        </w:rPr>
        <w:t>•  Aster Pharmacy 소매가 — UAE 민간 약국 실시간 소매가격</w:t>
      </w:r>
    </w:p>
    <w:p>
      <w:r>
        <w:rPr>
          <w:b w:val="0"/>
          <w:sz w:val="18"/>
        </w:rPr>
        <w:t>•  Rafed/ADGPG — UAE 공공 의료조달 플랫폼</w:t>
      </w:r>
    </w:p>
    <w:p>
      <w:r>
        <w:rPr>
          <w:b w:val="0"/>
          <w:sz w:val="18"/>
        </w:rPr>
        <w:t>•  Tatmeen GS1 — 의약품 추적 포털</w:t>
      </w:r>
    </w:p>
    <w:p>
      <w:r>
        <w:rPr>
          <w:b w:val="0"/>
          <w:sz w:val="18"/>
        </w:rPr>
        <w:t>•  Perplexity 실시간 규제·시장 정보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