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Sereterol Activair</w:t>
      </w:r>
    </w:p>
    <w:p>
      <w:r>
        <w:rPr>
          <w:b w:val="0"/>
          <w:sz w:val="20"/>
        </w:rPr>
        <w:t>Sereterol Activair (Fluticasone/Salmeterol)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UAE의 높은 천식 및 만성폐쇄성폐질환(COPD) 유병률과 흡입제 사용 확대 추세는 플루티카손/살메테롤 복합제에 대한 임상적 수요를 뒷받침한다. DoH 참조 가격 데이터에서 동일 유효성분 기반 흡입제 제품(FLIXOTIDE, FLOHALE 등)이 AED 48.70~54.87 범위로 등재되어 있어 시장 포지셔닝 가능성이 있다. 인도·인도네시아 제조사 제품의 UAE 진입 사례(Cipla FLOHALE)가 있어 수입 제형 진입 경로가 개방된 상태다.</w:t>
      </w:r>
    </w:p>
    <w:p>
      <w:r>
        <w:rPr>
          <w:b/>
          <w:color w:val="1B2A4A"/>
          <w:sz w:val="28"/>
        </w:rPr>
        <w:t>2. 무역/규제 환경</w:t>
      </w:r>
    </w:p>
    <w:p>
      <w:r>
        <w:rPr>
          <w:b/>
          <w:color w:val="1B2A4A"/>
          <w:sz w:val="22"/>
        </w:rPr>
        <w:t>▸ EDE 등록 현황</w:t>
      </w:r>
    </w:p>
    <w:p>
      <w:r>
        <w:rPr>
          <w:b w:val="0"/>
          <w:sz w:val="20"/>
        </w:rPr>
        <w:t>현재 확보된 Perplexity 실시간 정보와 EDE 공식 포탈 검색 결과에 따르면 Sereterol Activair의 구체적인 EDE 등재 상태, 승인 일자, 규제 분류(OTC/처방약)가 명확히 확인되지 않아 추가 검증이 필수적이다. 복합제(fixed-dose combination) 흡입제로서 별도의 eCTD Full 또는 Abridged 신청 경로 결정이 필요하며, MOHAP 연방 법령 제30호(2021) 기준 규제 의약품 스케줄 적용 여부도 확인 대상이다. Tatmeen GS1 DataMatrix 2차 포장 바코드(GTIN, 일련번호, 배치번호, 유통기한) 의무 준수는 EDE 등재 후 유통 전 단계에서 필수 충족 사항이다.</w:t>
      </w:r>
    </w:p>
    <w:p>
      <w:r>
        <w:rPr>
          <w:b/>
          <w:color w:val="1B2A4A"/>
          <w:sz w:val="22"/>
        </w:rPr>
        <w:t>▸ 진입 채널 권고</w:t>
      </w:r>
    </w:p>
    <w:p>
      <w:r>
        <w:rPr>
          <w:b w:val="0"/>
          <w:sz w:val="20"/>
        </w:rPr>
        <w:t>1단계: EDE 공식 포탈(ede.gov.ae) 및 EDE 직접 문의를 통해 Sereterol Activair의 등재 여부·승인 분류 확인. 2단계: 미등재 시 eCTD Abridged 또는 복합제 전문가 평가 경로 신청 준비(생물학적 동등성 자료, 원액 GMP, 제조 분석 포함). 3단계: EDE 승인 취득 후 Tatmeen GS1 DataMatrix 준수 체계 구축 및 민간 약국 유통망 개척. 4단계: 임상 데이터·가격 경쟁력 입증 시 Rafed 공공 입찰 신청 및 SEHA 병원 공급 확대.</w:t>
      </w:r>
    </w:p>
    <w:p>
      <w:r>
        <w:rPr>
          <w:b/>
          <w:color w:val="1B2A4A"/>
          <w:sz w:val="22"/>
        </w:rPr>
        <w:t>▸ 관세 및 무역</w:t>
      </w:r>
    </w:p>
    <w:p>
      <w:r>
        <w:rPr>
          <w:b w:val="0"/>
          <w:sz w:val="20"/>
        </w:rPr>
        <w:t>Rafed/ADGPG 공공 조달 입찰 참여는 EDE 사전 등재와 SEHA 병원군 계약 기준(가격, 공급 안정성, ICV 점수) 충족을 전제로 한다. 현재 DoH 참조 가격 데이터에서 경쟁 제품(GSK 기원 FLIXOTIDE AED 51.32, Cipla FLOHALE AED 54.87) 범위를 기준으로 AED 45~60 대의 약국 공급가 포지셔닝이 현실적이나 정확한 원가 및 마진 구조 분석이 선행되어야 한다. ICV(국내 가치) 점수 개선을 위한 현지 유통업체 또는 로컬 파트너 협력이 공공 입찰 경쟁력 확보에 유리할 것으로 예상된다.</w:t>
      </w:r>
    </w:p>
    <w:p>
      <w:r>
        <w:rPr>
          <w:b/>
          <w:color w:val="1B2A4A"/>
          <w:sz w:val="28"/>
        </w:rPr>
        <w:t>3. 참고 가격</w:t>
      </w:r>
    </w:p>
    <w:p>
      <w:r>
        <w:rPr>
          <w:b w:val="0"/>
          <w:sz w:val="18"/>
        </w:rPr>
        <w:t>참조 가격 데이터 (30건 매칭, 성분: Fluticasone/Salmeterol):</w:t>
      </w:r>
    </w:p>
    <w:p>
      <w:r>
        <w:rPr>
          <w:b w:val="0"/>
          <w:sz w:val="18"/>
        </w:rPr>
        <w:t>- DYMISTA | 제조사: MEDA Pharma GmbH &amp; Co. KG, GERMANY | 약국공급가 AED 97.07 | 일반의약품(OTC) | [출처: DoH Abu Dhabi]</w:t>
      </w:r>
    </w:p>
    <w:p>
      <w:r>
        <w:rPr>
          <w:b w:val="0"/>
          <w:sz w:val="18"/>
        </w:rPr>
        <w:t>- AVAMYS | 제조사: Glaxo Operations UK Ltd., UNITED KINGDOM | 약국공급가 AED 69.64 | 일반의약품(OTC) | [출처: DoH Abu Dhabi]</w:t>
      </w:r>
    </w:p>
    <w:p>
      <w:r>
        <w:rPr>
          <w:b w:val="0"/>
          <w:sz w:val="18"/>
        </w:rPr>
        <w:t>- CUTIVATE | 제조사: Glaxo Operations UK Ltd., UNITED KINGDOM | 약국공급가 AED 5.11 | 일반의약품(OTC) | [출처: DoH Abu Dhabi]</w:t>
      </w:r>
    </w:p>
    <w:p>
      <w:r>
        <w:rPr>
          <w:b w:val="0"/>
          <w:sz w:val="18"/>
        </w:rPr>
        <w:t>- FLUTIDERM | 제조사: Medpharma Pharma. &amp; Chem. Ind's (L.L.C), U.A.E | 약국공급가 AED 10.82 | 일반의약품(OTC) | [출처: DoH Abu Dhabi]</w:t>
      </w:r>
    </w:p>
    <w:p>
      <w:r>
        <w:rPr>
          <w:b w:val="0"/>
          <w:sz w:val="18"/>
        </w:rPr>
        <w:t>- POTENCORT | 제조사: Julphar (Gulf Pharmaceutical Industries), U.A.E | 약국공급가 AED 10.82 | 일반의약품(OTC) | [출처: DoH Abu Dhabi]</w:t>
      </w:r>
    </w:p>
    <w:p>
      <w:r>
        <w:rPr>
          <w:b w:val="0"/>
          <w:sz w:val="18"/>
        </w:rPr>
        <w:t>- FLIXOTIDE | 제조사: GlaxoSmithKline Australia (Pty) Ltd., AUSTRALIA | 약국공급가 AED 51.32 | 일반의약품(OTC) | [출처: DoH Abu Dhabi]</w:t>
      </w:r>
    </w:p>
    <w:p>
      <w:r>
        <w:rPr>
          <w:b w:val="0"/>
          <w:sz w:val="18"/>
        </w:rPr>
        <w:t>- FLOHALE | 제조사: Cipla Ltd., INDIA | 약국공급가 AED 54.87 | 일반의약품(OTC) | [출처: DoH Abu Dhabi]</w:t>
      </w:r>
    </w:p>
    <w:p>
      <w:r>
        <w:rPr>
          <w:b w:val="0"/>
          <w:sz w:val="18"/>
        </w:rPr>
        <w:t>- FLIXOTIDE DISKUS | 제조사: Glaxo Wellcome Production, FRANCE | 약국공급가 AED 48.70 | 일반의약품(OTC) | [출처: DoH Abu Dhabi]</w:t>
      </w:r>
    </w:p>
    <w:p>
      <w:r>
        <w:rPr>
          <w:b/>
          <w:color w:val="1B2A4A"/>
          <w:sz w:val="28"/>
        </w:rPr>
        <w:t>4. 리스크 / 조건</w:t>
      </w:r>
    </w:p>
    <w:p>
      <w:r>
        <w:rPr>
          <w:b w:val="0"/>
          <w:sz w:val="20"/>
        </w:rPr>
        <w:t>가장 중대한 리스크는 EDE 공식 등재 추가 확인 필요로 인한 규제 진입 불확실성이며, 현재 단계에서는 EDE 직접 문의와 공식 포탈 검색을 통해 사전 검증이 불가피하다. Seretide(GSK)의 브랜드 점유율과 임상 신뢰도 우위로 인해 시장 점유율 확대가 제약될 수 있으므로, 가격 경쟁력과 함께 흡입 기술 교육 및 약사 교육 프로그램으로 차별화 전략이 요구된다. 추가로 Tatmeen GS1 준수 체계 구축 및 현지 유통 파트너 확보에 시간·비용이 소요되므로 사전 파트너십 논의와 규제 컨설턴트 참여가 권장된다.</w:t>
      </w:r>
    </w:p>
    <w:p>
      <w:r>
        <w:rPr>
          <w:b/>
          <w:color w:val="1B2A4A"/>
          <w:sz w:val="22"/>
        </w:rPr>
        <w:t>▸ Tatmeen 준수사항</w:t>
      </w:r>
    </w:p>
    <w:p>
      <w:r>
        <w:rPr>
          <w:b w:val="0"/>
          <w:sz w:val="20"/>
        </w:rPr>
        <w:t>EDE 등재 승인 후 UAE 의약품 유통 시스템(Tatmeen)에 진입하기 위해 2차 포장(retail 박스)에 GS1 DataMatrix 바코드를 의무 부착해야 한다. GTIN(Global Trade Item Number), 제품 일련번호, 배치번호, 유통기한 4가지 요소를 포함하는 2차원 바코드 구현이 필수적이며, 이는 위조품 방지 및 공급망 추적성 확보를 위한 연방 규제 요건이다.</w:t>
      </w:r>
    </w:p>
    <w:p>
      <w:r>
        <w:rPr>
          <w:b/>
          <w:color w:val="1B2A4A"/>
          <w:sz w:val="28"/>
        </w:rPr>
        <w:t>5. 근거 및 출처</w:t>
      </w:r>
    </w:p>
    <w:p>
      <w:r>
        <w:rPr>
          <w:b/>
          <w:color w:val="1B2A4A"/>
          <w:sz w:val="22"/>
        </w:rPr>
        <w:t>▸ 5-1. 참조 출처</w:t>
      </w:r>
    </w:p>
    <w:p>
      <w:r>
        <w:rPr>
          <w:b/>
          <w:sz w:val="18"/>
        </w:rPr>
        <w:t>No.1  EDE 의약품 디렉토리(공식 검색)</w:t>
      </w:r>
    </w:p>
    <w:p>
      <w:r>
        <w:rPr>
          <w:b w:val="0"/>
          <w:sz w:val="16"/>
        </w:rPr>
        <w:t>출처: https://ede.gov.ae/en/Products/SearchProduct?query=Fluticasone/Salmeterol</w:t>
      </w:r>
    </w:p>
    <w:p>
      <w:r>
        <w:rPr>
          <w:b/>
          <w:sz w:val="18"/>
        </w:rPr>
        <w:t>No.2  DoH 아부다비 참조 가격 리스트</w:t>
      </w:r>
    </w:p>
    <w:p>
      <w:r>
        <w:rPr>
          <w:b w:val="0"/>
          <w:sz w:val="16"/>
        </w:rPr>
        <w:t>출처: 내부 데이터 (Fluticasone/Salmeterol 성분 30건 매칭)</w:t>
      </w:r>
    </w:p>
    <w:p>
      <w:r>
        <w:rPr>
          <w:b/>
          <w:sz w:val="18"/>
        </w:rPr>
        <w:t>No.3  Perplexity 실시간 규제·시장 정보</w:t>
      </w:r>
    </w:p>
    <w:p>
      <w:r>
        <w:rPr>
          <w:b w:val="0"/>
          <w:sz w:val="16"/>
        </w:rPr>
        <w:t>출처: EDE 공식 발표, Tatmeen·Rafed 공개 정보 기반</w:t>
      </w:r>
    </w:p>
    <w:p>
      <w:r>
        <w:rPr>
          <w:b/>
          <w:sz w:val="18"/>
        </w:rPr>
        <w:t>No.4  UAE 내부 파이프라인 데이터(KUP)</w:t>
      </w:r>
    </w:p>
    <w:p>
      <w:r>
        <w:rPr>
          <w:b w:val="0"/>
          <w:sz w:val="16"/>
        </w:rPr>
        <w:t>출처: 내부 데이터 (confidence: 0.8)</w:t>
      </w:r>
    </w:p>
    <w:p>
      <w:r>
        <w:rPr>
          <w:b/>
          <w:sz w:val="18"/>
        </w:rPr>
        <w:t>No.5  MOHAP 연방 법령 제30호(2021)</w:t>
      </w:r>
    </w:p>
    <w:p>
      <w:r>
        <w:rPr>
          <w:b w:val="0"/>
          <w:sz w:val="16"/>
        </w:rPr>
        <w:t>출처: UAE 의약품 규제 통제 스케줄 기준</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