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Sereterol Activair</w:t>
      </w:r>
    </w:p>
    <w:p>
      <w:r>
        <w:rPr>
          <w:b w:val="0"/>
          <w:sz w:val="20"/>
        </w:rPr>
        <w:t>Sereterol Activair (Fluticasone/Salmeterol)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UAE의 높은 도시화율과 공기질 문제로 인해 천식 및 COPD 유병률이 증가하고 있으며, 호흡기 질환은 초기 의료 개입 시 치료 반응성이 양호한 만성질환입니다. 흡입 스테로이드와 장시간 작용 베타2 항진제의 복합제는 표준 치료 지침에 포함되어 있어 DoH(아부다비) 및 DHA(두바이) 공식 처방약 리스트에서 유사 성분의 여러 제품(Flixotide, Flohale 등)이 이미 공급되고 있습니다.</w:t>
      </w:r>
    </w:p>
    <w:p>
      <w:r>
        <w:rPr>
          <w:b/>
          <w:color w:val="1B2A4A"/>
          <w:sz w:val="28"/>
        </w:rPr>
        <w:t>2. 무역/규제 환경</w:t>
      </w:r>
    </w:p>
    <w:p>
      <w:r>
        <w:rPr>
          <w:b/>
          <w:color w:val="1B2A4A"/>
          <w:sz w:val="22"/>
        </w:rPr>
        <w:t>▸ EDE 등록 현황</w:t>
      </w:r>
    </w:p>
    <w:p>
      <w:r>
        <w:rPr>
          <w:b w:val="0"/>
          <w:sz w:val="20"/>
        </w:rPr>
        <w:t>EDE 의약품 디렉토리 기준으로 현재 등재 상태 확인이 필요하며, 복합 흡입제의 경우 단일 성분과 별도의 eCTD 전제출(Full dossier) 또는 생동성 동등성 축약 신청(Abridged pathway) 중 하나를 선택하여 진행해야 합니다. 2024년 연방령 38호 시행에 따라 EDE에 등록된 각 의약품마다 최소 2명 이상의 공인 공급업체/대리인을 임명해야 하며, 이는 EDE 포털(www.ede.gov.ae)을 통해 사전 승인이 필요합니다.</w:t>
      </w:r>
    </w:p>
    <w:p>
      <w:r>
        <w:rPr>
          <w:b/>
          <w:color w:val="1B2A4A"/>
          <w:sz w:val="22"/>
        </w:rPr>
        <w:t>▸ 진입 채널 권고</w:t>
      </w:r>
    </w:p>
    <w:p>
      <w:r>
        <w:rPr>
          <w:b w:val="0"/>
          <w:sz w:val="20"/>
        </w:rPr>
        <w:t>1단계: EDE 포털(www.ede.gov.ae)에서 Fluticasone/Salmeterol 동일 성분 기존 등재 제품 확인 및 자사 제품의 eCTD 신청 경로(Full vs. Abridged) 결정. 2단계: 연방령 38호 요구사항에 따라 복수 공인 대리인(최소 2명) 임명 및 EDE 사전 승인. 3단계: Tatmeen GS1 DataMatrix 2차 포장 바코드 규격 준수 사전 확인 및 생산 라벨링 개선. 4단계: 등재 완료 후 소매 약국 채널 진입과 병렬하여 Rafed 공공 조달 입찰 참여 검토(ICV 파트너 필요 여부 사전 평가).</w:t>
      </w:r>
    </w:p>
    <w:p>
      <w:r>
        <w:rPr>
          <w:b/>
          <w:color w:val="1B2A4A"/>
          <w:sz w:val="22"/>
        </w:rPr>
        <w:t>▸ 관세 및 무역</w:t>
      </w:r>
    </w:p>
    <w:p>
      <w:r>
        <w:rPr>
          <w:b w:val="0"/>
          <w:sz w:val="20"/>
        </w:rPr>
        <w:t>DoH 참조 가격 리스트에서 동일 성분 Fluticasone/Salmeterol을 함유한 제품의 약국 공급가 데이터가 제한적이나, 유사 호흡기 질환 치료제(Flixotide AED 51.32, Flohale AED 54.87)의 가격 범위를 참고할 때 AED 50~60대의 포지셔닝이 가능해 보입니다. Rafed(아랍에미리트 보건 조달 플랫폼) 및 ADGPG 공공 입찰 주기에 참여하기 위해서는 ICV(국내 가치 추가) 점수 충족 여부에 따라 현지 유통 파트너 또는 생산 라이선스 협력사의 참여가 필요할 수 있습니다.</w:t>
      </w:r>
    </w:p>
    <w:p>
      <w:r>
        <w:rPr>
          <w:b/>
          <w:color w:val="1B2A4A"/>
          <w:sz w:val="28"/>
        </w:rPr>
        <w:t>3. 참고 가격</w:t>
      </w:r>
    </w:p>
    <w:p>
      <w:r>
        <w:rPr>
          <w:b w:val="0"/>
          <w:sz w:val="18"/>
        </w:rPr>
        <w:t>참조 가격 데이터 (30건 매칭, 성분: Fluticasone/Salmeterol):</w:t>
      </w:r>
    </w:p>
    <w:p>
      <w:r>
        <w:rPr>
          <w:b w:val="0"/>
          <w:sz w:val="18"/>
        </w:rPr>
        <w:t>- DYMISTA | 제조사: MEDA Pharma GmbH &amp; Co. KG, GERMANY | 약국공급가 AED 97.07 | 일반의약품(OTC) | [출처: DoH Abu Dhabi]</w:t>
      </w:r>
    </w:p>
    <w:p>
      <w:r>
        <w:rPr>
          <w:b w:val="0"/>
          <w:sz w:val="18"/>
        </w:rPr>
        <w:t>- AVAMYS | 제조사: Glaxo Operations UK Ltd., UNITED KINGDOM | 약국공급가 AED 69.64 | 일반의약품(OTC) | [출처: DoH Abu Dhabi]</w:t>
      </w:r>
    </w:p>
    <w:p>
      <w:r>
        <w:rPr>
          <w:b w:val="0"/>
          <w:sz w:val="18"/>
        </w:rPr>
        <w:t>- CUTIVATE | 제조사: Glaxo Operations UK Ltd., UNITED KINGDOM | 약국공급가 AED 5.11 | 일반의약품(OTC) | [출처: DoH Abu Dhabi]</w:t>
      </w:r>
    </w:p>
    <w:p>
      <w:r>
        <w:rPr>
          <w:b w:val="0"/>
          <w:sz w:val="18"/>
        </w:rPr>
        <w:t>- FLUTIDERM | 제조사: Medpharma Pharma. &amp; Chem. Ind's (L.L.C), U.A.E | 약국공급가 AED 10.82 | 일반의약품(OTC) | [출처: DoH Abu Dhabi]</w:t>
      </w:r>
    </w:p>
    <w:p>
      <w:r>
        <w:rPr>
          <w:b w:val="0"/>
          <w:sz w:val="18"/>
        </w:rPr>
        <w:t>- POTENCORT | 제조사: Julphar (Gulf Pharmaceutical Industries), U.A.E | 약국공급가 AED 10.82 | 일반의약품(OTC) | [출처: DoH Abu Dhabi]</w:t>
      </w:r>
    </w:p>
    <w:p>
      <w:r>
        <w:rPr>
          <w:b w:val="0"/>
          <w:sz w:val="18"/>
        </w:rPr>
        <w:t>- FLIXOTIDE | 제조사: GlaxoSmithKline Australia (Pty) Ltd., AUSTRALIA | 약국공급가 AED 51.32 | 일반의약품(OTC) | [출처: DoH Abu Dhabi]</w:t>
      </w:r>
    </w:p>
    <w:p>
      <w:r>
        <w:rPr>
          <w:b w:val="0"/>
          <w:sz w:val="18"/>
        </w:rPr>
        <w:t>- FLOHALE | 제조사: Cipla Ltd., INDIA | 약국공급가 AED 54.87 | 일반의약품(OTC) | [출처: DoH Abu Dhabi]</w:t>
      </w:r>
    </w:p>
    <w:p>
      <w:r>
        <w:rPr>
          <w:b w:val="0"/>
          <w:sz w:val="18"/>
        </w:rPr>
        <w:t>- FLIXOTIDE DISKUS | 제조사: Glaxo Wellcome Production, FRANCE | 약국공급가 AED 48.70 | 일반의약품(OTC) | [출처: DoH Abu Dhabi]</w:t>
      </w:r>
    </w:p>
    <w:p>
      <w:r>
        <w:rPr>
          <w:b/>
          <w:color w:val="1B2A4A"/>
          <w:sz w:val="28"/>
        </w:rPr>
        <w:t>4. 리스크 / 조건</w:t>
      </w:r>
    </w:p>
    <w:p>
      <w:r>
        <w:rPr>
          <w:b w:val="0"/>
          <w:sz w:val="20"/>
        </w:rPr>
        <w:t>EDE 등재 상태가 미확인(TBC)이므로 신규 eCTD 신청 시 심사 기간(일반적 8~12개월) 및 거절 가능성에 대한 사전 대비가 필요하며, 최악의 경우 임상 추가 데이터 요청이 발생할 수 있습니다. Seretide의 강력한 원제품 점유 및 환자 교육 습관화로 인해 신제품의 시장 진입장벽이 높으며, 특히 소매 약국 채널에서는 약사의 인식 전환과 흡입 기구 사용 교육 자료 지원이 필수입니다. 복수 공인 대리인 임명(연방령 38호)에 따른 유통 채널 관리 복잡성 증가 및 현지 파트너의 신뢰성 검증(ICV 점수, SEHA 계약 이력 등)이 필수 조건입니다.</w:t>
      </w:r>
    </w:p>
    <w:p>
      <w:r>
        <w:rPr>
          <w:b/>
          <w:color w:val="1B2A4A"/>
          <w:sz w:val="22"/>
        </w:rPr>
        <w:t>▸ Tatmeen 준수사항</w:t>
      </w:r>
    </w:p>
    <w:p>
      <w:r>
        <w:rPr>
          <w:b w:val="0"/>
          <w:sz w:val="20"/>
        </w:rPr>
        <w:t>Tatmeen은 UAE 건강보험 검증 시스템으로, 2024년부터 의약품 2차 포장(외장)에 GS1 DataMatrix 바코드(GTIN·일련번호·배치번호·유통기한 4요소 필수)의 의무 준수가 강화되었습니다. 본 제품 진입 전 제조사의 라벨링 시스템이 UAE Tatmeen 규격을 충족하는지 확인하고, 필요 시 생산 공정 개선 또는 현지 완성가공(repackaging) 계약을 체결해야 합니다.</w:t>
      </w:r>
    </w:p>
    <w:p>
      <w:r>
        <w:rPr>
          <w:b/>
          <w:color w:val="1B2A4A"/>
          <w:sz w:val="28"/>
        </w:rPr>
        <w:t>5. 근거 및 출처</w:t>
      </w:r>
    </w:p>
    <w:p>
      <w:r>
        <w:rPr>
          <w:b/>
          <w:color w:val="1B2A4A"/>
          <w:sz w:val="22"/>
        </w:rPr>
        <w:t>▸ 5-1. 참조 출처</w:t>
      </w:r>
    </w:p>
    <w:p>
      <w:r>
        <w:rPr>
          <w:b/>
          <w:sz w:val="18"/>
        </w:rPr>
        <w:t>No.1  EDE 의약품 디렉토리</w:t>
      </w:r>
    </w:p>
    <w:p>
      <w:r>
        <w:rPr>
          <w:b w:val="0"/>
          <w:sz w:val="16"/>
        </w:rPr>
        <w:t>출처: https://ede.gov.ae/en/Products/SearchProduct?query=Fluticasone/Salmeterol</w:t>
      </w:r>
    </w:p>
    <w:p>
      <w:r>
        <w:rPr>
          <w:b/>
          <w:sz w:val="18"/>
        </w:rPr>
        <w:t>No.2  DoH Abu Dhabi 참조 가격 리스트(내부 데이터)</w:t>
      </w:r>
    </w:p>
    <w:p>
      <w:r>
        <w:rPr>
          <w:b/>
          <w:sz w:val="18"/>
        </w:rPr>
        <w:t>No.3  연방령 38호(2024) &amp; EDE 포털</w:t>
      </w:r>
    </w:p>
    <w:p>
      <w:r>
        <w:rPr>
          <w:b w:val="0"/>
          <w:sz w:val="16"/>
        </w:rPr>
        <w:t>출처: https://www.ede.gov.ae</w:t>
      </w:r>
    </w:p>
    <w:p>
      <w:r>
        <w:rPr>
          <w:b/>
          <w:sz w:val="18"/>
        </w:rPr>
        <w:t>No.4  UAE 건강보험(Tatmeen) GS1 DataMatrix 규격</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