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UAE 수출 가격 전략 보고서 — Sereterol Activair</w:t>
      </w:r>
    </w:p>
    <w:p>
      <w:r>
        <w:rPr>
          <w:b w:val="0"/>
          <w:sz w:val="20"/>
        </w:rPr>
        <w:t>Sereterol Activair (Fluticasone/Salmeterol)  |  2026-04-23</w:t>
      </w:r>
    </w:p>
    <w:p>
      <w:r>
        <w:rPr>
          <w:b/>
          <w:color w:val="1B2A4A"/>
          <w:sz w:val="28"/>
        </w:rPr>
        <w:t>1. UAE 거시 시장</w:t>
      </w:r>
    </w:p>
    <w:p>
      <w:r>
        <w:rPr>
          <w:b w:val="0"/>
          <w:sz w:val="20"/>
        </w:rPr>
        <w:t>UAE는 인구 약 1,000만 명의 고소득 산유국으로, 1인당 GDP USD 43,103(IMF 2024)로 중동 최상위권입니다. 의료비 지출은 GDP의 약 4.5% 수준이며 의약품 시장 규모는 약 USD 5.2B(2024 추산)으로 연평균 7~8% 성장세를 유지하고 있습니다. DoH(아부다비)/DHA(두바이) 이원 규제 체계 하에서 EDE 등록이 시장 진입의 핵심 요건이며, Rafed/ADGPG 공공조달 및 민간 약국 체인(Aster, Life 등)이 주요 유통 채널입니다.</w:t>
      </w:r>
    </w:p>
    <w:p>
      <w:r>
        <w:rPr>
          <w:b/>
          <w:color w:val="1B2A4A"/>
          <w:sz w:val="28"/>
        </w:rPr>
        <w:t>2. Sereterol Activair 단가 (시장 기준가)</w:t>
      </w:r>
    </w:p>
    <w:p>
      <w:r>
        <w:rPr>
          <w:b/>
          <w:sz w:val="20"/>
        </w:rPr>
        <w:t xml:space="preserve">기준 가격  </w:t>
      </w:r>
      <w:r>
        <w:rPr>
          <w:sz w:val="20"/>
        </w:rPr>
        <w:t>AED 43.54</w:t>
      </w:r>
    </w:p>
    <w:p>
      <w:r>
        <w:rPr>
          <w:b/>
          <w:sz w:val="20"/>
        </w:rPr>
        <w:t xml:space="preserve">산정 방식  </w:t>
      </w:r>
      <w:r>
        <w:rPr>
          <w:sz w:val="20"/>
        </w:rPr>
        <w:t>AI 분석 (Claude Haiku) + Aster Pharmacy 실시간 소매가 + DoH 참조가격</w:t>
      </w:r>
    </w:p>
    <w:p>
      <w:r>
        <w:rPr>
          <w:b/>
          <w:sz w:val="20"/>
        </w:rPr>
        <w:t xml:space="preserve">시장 구분  </w:t>
      </w:r>
      <w:r>
        <w:rPr>
          <w:sz w:val="20"/>
        </w:rPr>
        <w:t>공공 / 민간</w:t>
      </w:r>
    </w:p>
    <w:p>
      <w:r>
        <w:rPr>
          <w:b/>
          <w:color w:val="1B2A4A"/>
          <w:sz w:val="28"/>
        </w:rPr>
        <w:t>3. 거래처 참고 가격</w:t>
      </w:r>
    </w:p>
    <w:p>
      <w:r>
        <w:rPr>
          <w:b/>
          <w:sz w:val="20"/>
        </w:rPr>
        <w:t xml:space="preserve">제품명  </w:t>
      </w:r>
      <w:r>
        <w:rPr>
          <w:sz w:val="20"/>
        </w:rPr>
        <w:t>DYMISTA</w:t>
      </w:r>
    </w:p>
    <w:p>
      <w:r>
        <w:rPr>
          <w:b/>
          <w:sz w:val="20"/>
        </w:rPr>
        <w:t xml:space="preserve">시장가  </w:t>
      </w:r>
      <w:r>
        <w:rPr>
          <w:sz w:val="20"/>
        </w:rPr>
        <w:t>AED 97.07  (DoH Abu Dhabi)</w:t>
      </w:r>
    </w:p>
    <w:p/>
    <w:p>
      <w:r>
        <w:rPr>
          <w:b/>
          <w:sz w:val="20"/>
        </w:rPr>
        <w:t xml:space="preserve">제품명  </w:t>
      </w:r>
      <w:r>
        <w:rPr>
          <w:sz w:val="20"/>
        </w:rPr>
        <w:t>AVAMYS</w:t>
      </w:r>
    </w:p>
    <w:p>
      <w:r>
        <w:rPr>
          <w:b/>
          <w:sz w:val="20"/>
        </w:rPr>
        <w:t xml:space="preserve">시장가  </w:t>
      </w:r>
      <w:r>
        <w:rPr>
          <w:sz w:val="20"/>
        </w:rPr>
        <w:t>AED 69.64  (DoH Abu Dhabi)</w:t>
      </w:r>
    </w:p>
    <w:p/>
    <w:p>
      <w:r>
        <w:rPr>
          <w:b/>
          <w:sz w:val="20"/>
        </w:rPr>
        <w:t xml:space="preserve">제품명  </w:t>
      </w:r>
      <w:r>
        <w:rPr>
          <w:sz w:val="20"/>
        </w:rPr>
        <w:t>CUTIVATE</w:t>
      </w:r>
    </w:p>
    <w:p>
      <w:r>
        <w:rPr>
          <w:b/>
          <w:sz w:val="20"/>
        </w:rPr>
        <w:t xml:space="preserve">시장가  </w:t>
      </w:r>
      <w:r>
        <w:rPr>
          <w:sz w:val="20"/>
        </w:rPr>
        <w:t>AED 5.11  (DoH Abu Dhabi)</w:t>
      </w:r>
    </w:p>
    <w:p/>
    <w:p>
      <w:r>
        <w:rPr>
          <w:b/>
          <w:sz w:val="20"/>
        </w:rPr>
        <w:t xml:space="preserve">제품명  </w:t>
      </w:r>
      <w:r>
        <w:rPr>
          <w:sz w:val="20"/>
        </w:rPr>
        <w:t>FLUTIDERM</w:t>
      </w:r>
    </w:p>
    <w:p>
      <w:r>
        <w:rPr>
          <w:b/>
          <w:sz w:val="20"/>
        </w:rPr>
        <w:t xml:space="preserve">시장가  </w:t>
      </w:r>
      <w:r>
        <w:rPr>
          <w:sz w:val="20"/>
        </w:rPr>
        <w:t>AED 10.82  (DoH Abu Dhabi)</w:t>
      </w:r>
    </w:p>
    <w:p/>
    <w:p>
      <w:r>
        <w:rPr>
          <w:b/>
          <w:color w:val="1B2A4A"/>
          <w:sz w:val="28"/>
        </w:rPr>
        <w:t>4. 가격 시나리오</w:t>
      </w:r>
    </w:p>
    <w:p>
      <w:r>
        <w:rPr>
          <w:b/>
          <w:color w:val="1B2A4A"/>
          <w:sz w:val="22"/>
        </w:rPr>
        <w:t>▸ 공공 시장</w:t>
      </w:r>
    </w:p>
    <w:p/>
    <w:p>
      <w:r>
        <w:rPr>
          <w:b/>
          <w:sz w:val="20"/>
        </w:rPr>
        <w:t xml:space="preserve">[저가 진입]  </w:t>
      </w:r>
      <w:r>
        <w:rPr>
          <w:sz w:val="20"/>
        </w:rPr>
        <w:t>AED 3.83</w:t>
      </w:r>
    </w:p>
    <w:p>
      <w:r>
        <w:rPr>
          <w:b w:val="0"/>
          <w:sz w:val="18"/>
        </w:rPr>
        <w:t>근거  경쟁사 최저가 대비 75% 수준. 초기 시장 점유율 확보 전략.</w:t>
      </w:r>
    </w:p>
    <w:p>
      <w:r>
        <w:rPr>
          <w:b w:val="0"/>
          <w:sz w:val="18"/>
        </w:rPr>
        <w:t>FOB 수출가 역산식  AED 4 ÷ (1+VAT 5%) ÷ (1+마진 20%) ÷ (1+수입·유통비 15%) × 환율(0.27) ≈ USD 0.7</w:t>
      </w:r>
    </w:p>
    <w:p/>
    <w:p>
      <w:r>
        <w:rPr>
          <w:b/>
          <w:sz w:val="20"/>
        </w:rPr>
        <w:t xml:space="preserve">[기준가]  </w:t>
      </w:r>
      <w:r>
        <w:rPr>
          <w:sz w:val="20"/>
        </w:rPr>
        <w:t>AED 37.01</w:t>
      </w:r>
    </w:p>
    <w:p>
      <w:r>
        <w:rPr>
          <w:b w:val="0"/>
          <w:sz w:val="18"/>
        </w:rPr>
        <w:t>근거  경쟁사 평균가 대비 85% 수준. 품질 대비 합리적 가격 포지셔닝.</w:t>
      </w:r>
    </w:p>
    <w:p>
      <w:r>
        <w:rPr>
          <w:b w:val="0"/>
          <w:sz w:val="18"/>
        </w:rPr>
        <w:t>FOB 수출가 역산식  AED 37 ÷ (1+VAT 5%) ÷ (1+마진 20%) ÷ (1+수입·유통비 15%) × 환율(0.27) ≈ USD 6.9</w:t>
      </w:r>
    </w:p>
    <w:p/>
    <w:p>
      <w:r>
        <w:rPr>
          <w:b/>
          <w:sz w:val="20"/>
        </w:rPr>
        <w:t xml:space="preserve">[프리미엄]  </w:t>
      </w:r>
      <w:r>
        <w:rPr>
          <w:sz w:val="20"/>
        </w:rPr>
        <w:t>AED 92.22</w:t>
      </w:r>
    </w:p>
    <w:p>
      <w:r>
        <w:rPr>
          <w:b w:val="0"/>
          <w:sz w:val="18"/>
        </w:rPr>
        <w:t>근거  경쟁사 최고가 대비 95% 수준. 품질·안전성 차별화 전략.</w:t>
      </w:r>
    </w:p>
    <w:p>
      <w:r>
        <w:rPr>
          <w:b w:val="0"/>
          <w:sz w:val="18"/>
        </w:rPr>
        <w:t>FOB 수출가 역산식  AED 92 ÷ (1+VAT 5%) ÷ (1+마진 20%) ÷ (1+수입·유통비 15%) × 환율(0.27) ≈ USD 17.2</w:t>
      </w:r>
    </w:p>
    <w:p>
      <w:r>
        <w:rPr>
          <w:b/>
          <w:color w:val="1B2A4A"/>
          <w:sz w:val="22"/>
        </w:rPr>
        <w:t>▸ 민간 시장</w:t>
      </w:r>
    </w:p>
    <w:p/>
    <w:p>
      <w:r>
        <w:rPr>
          <w:b/>
          <w:sz w:val="20"/>
        </w:rPr>
        <w:t xml:space="preserve">[저가 진입]  </w:t>
      </w:r>
      <w:r>
        <w:rPr>
          <w:sz w:val="20"/>
        </w:rPr>
        <w:t>AED 3.83</w:t>
      </w:r>
    </w:p>
    <w:p>
      <w:r>
        <w:rPr>
          <w:b w:val="0"/>
          <w:sz w:val="18"/>
        </w:rPr>
        <w:t>근거  경쟁사 최저가 대비 75% 수준. 초기 시장 점유율 확보 전략.</w:t>
      </w:r>
    </w:p>
    <w:p>
      <w:r>
        <w:rPr>
          <w:b w:val="0"/>
          <w:sz w:val="18"/>
        </w:rPr>
        <w:t>FOB 수출가 역산식  AED 4 ÷ (1+VAT 5%) ÷ (1+마진 30%) ÷ (1+수입·유통비 15%) × 환율(0.27) ≈ USD 0.7</w:t>
      </w:r>
    </w:p>
    <w:p/>
    <w:p>
      <w:r>
        <w:rPr>
          <w:b/>
          <w:sz w:val="20"/>
        </w:rPr>
        <w:t xml:space="preserve">[기준가]  </w:t>
      </w:r>
      <w:r>
        <w:rPr>
          <w:sz w:val="20"/>
        </w:rPr>
        <w:t>AED 37.01</w:t>
      </w:r>
    </w:p>
    <w:p>
      <w:r>
        <w:rPr>
          <w:b w:val="0"/>
          <w:sz w:val="18"/>
        </w:rPr>
        <w:t>근거  경쟁사 평균가 대비 85% 수준. 품질 대비 합리적 가격 포지셔닝.</w:t>
      </w:r>
    </w:p>
    <w:p>
      <w:r>
        <w:rPr>
          <w:b w:val="0"/>
          <w:sz w:val="18"/>
        </w:rPr>
        <w:t>FOB 수출가 역산식  AED 37 ÷ (1+VAT 5%) ÷ (1+마진 30%) ÷ (1+수입·유통비 15%) × 환율(0.27) ≈ USD 6.4</w:t>
      </w:r>
    </w:p>
    <w:p/>
    <w:p>
      <w:r>
        <w:rPr>
          <w:b/>
          <w:sz w:val="20"/>
        </w:rPr>
        <w:t xml:space="preserve">[프리미엄]  </w:t>
      </w:r>
      <w:r>
        <w:rPr>
          <w:sz w:val="20"/>
        </w:rPr>
        <w:t>AED 92.22</w:t>
      </w:r>
    </w:p>
    <w:p>
      <w:r>
        <w:rPr>
          <w:b w:val="0"/>
          <w:sz w:val="18"/>
        </w:rPr>
        <w:t>근거  경쟁사 최고가 대비 95% 수준. 품질·안전성 차별화 전략.</w:t>
      </w:r>
    </w:p>
    <w:p>
      <w:r>
        <w:rPr>
          <w:b w:val="0"/>
          <w:sz w:val="18"/>
        </w:rPr>
        <w:t>FOB 수출가 역산식  AED 92 ÷ (1+VAT 5%) ÷ (1+마진 30%) ÷ (1+수입·유통비 15%) × 환율(0.27) ≈ USD 15.9</w:t>
      </w:r>
    </w:p>
    <w:p/>
    <w:p>
      <w:r>
        <w:rPr>
          <w:b w:val="0"/>
          <w:sz w:val="18"/>
        </w:rPr>
        <w:t>※ 본 산출 결과는 AI 분석에 기반한 추정치이므로, 최종 의사결정 전 반드시 담당자의 검토 및 확인이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