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UAE 바이어 후보 리스트 — Sereterol Activair</w:t>
      </w:r>
    </w:p>
    <w:p>
      <w:r>
        <w:rPr>
          <w:b w:val="0"/>
          <w:sz w:val="20"/>
        </w:rPr>
        <w:t>UAE  |  2026-04-23</w:t>
      </w:r>
    </w:p>
    <w:p>
      <w:r>
        <w:rPr>
          <w:b w:val="0"/>
          <w:sz w:val="18"/>
        </w:rPr>
        <w:t>※ 아래 바이어 후보는 CPHI 등록 및 Perplexity 웹 분석을 통해 도출되었으며, 개별 기업의 UAE 진출 현황 및 제품 연관성은 추가 실사가 필요합니다.</w:t>
      </w:r>
    </w:p>
    <w:p>
      <w:r>
        <w:rPr>
          <w:b w:val="0"/>
          <w:sz w:val="20"/>
        </w:rPr>
        <w:t>바이어 분석을 먼저 실행해주세요.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