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  <w:pBdr>
          <w:bottom w:val="nil"/>
        </w:pBdr>
      </w:pPr>
      <w:r>
        <w:t>轨迹数据预处理评估报告</w:t>
      </w:r>
    </w:p>
    <w:p>
      <w:pPr>
        <w:spacing w:before="280" w:after="160" w:lineRule="auto" w:line="288"/>
        <w:jc w:val="center"/>
      </w:pPr>
      <w:r>
        <w:rPr>
          <w:rFonts w:ascii="Times New Roman" w:hAnsi="Times New Roman" w:eastAsia="微软雅黑"/>
          <w:b/>
          <w:sz w:val="30"/>
        </w:rPr>
        <w:t>《智慧城市与位置服务》实验一</w:t>
      </w:r>
    </w:p>
    <w:p>
      <w:pPr>
        <w:spacing w:before="600" w:after="120" w:lineRule="auto" w:line="312"/>
        <w:jc w:val="center"/>
      </w:pPr>
      <w:r>
        <w:rPr>
          <w:rFonts w:ascii="Times New Roman" w:hAnsi="Times New Roman" w:eastAsia="宋体"/>
          <w:sz w:val="22"/>
        </w:rPr>
        <w:t>数据范围：11,386 条轨迹，1,173,410 个轨迹点</w:t>
      </w:r>
    </w:p>
    <w:p>
      <w:pPr>
        <w:jc w:val="center"/>
      </w:pPr>
      <w:r>
        <w:rPr>
          <w:rFonts w:ascii="Times New Roman" w:hAnsi="Times New Roman" w:eastAsia="宋体"/>
          <w:sz w:val="22"/>
        </w:rPr>
        <w:t>报告日期：2026 年 9 月 21 日</w:t>
      </w:r>
    </w:p>
    <w:p>
      <w:r>
        <w:br w:type="page"/>
      </w:r>
    </w:p>
    <w:p>
      <w:pPr>
        <w:pStyle w:val="Heading1"/>
      </w:pPr>
      <w:r>
        <w:t>报告目录</w:t>
      </w:r>
    </w:p>
    <w:p>
      <w:pPr>
        <w:spacing w:before="0" w:after="100" w:lineRule="auto" w:line="288"/>
        <w:ind w:left="340"/>
      </w:pPr>
      <w:r>
        <w:rPr>
          <w:rFonts w:ascii="Times New Roman" w:hAnsi="Times New Roman" w:eastAsia="微软雅黑"/>
          <w:sz w:val="22"/>
        </w:rPr>
        <w:t>1 任务要求与数据说明</w:t>
      </w:r>
    </w:p>
    <w:p>
      <w:pPr>
        <w:spacing w:before="0" w:after="100" w:lineRule="auto" w:line="288"/>
        <w:ind w:left="340"/>
      </w:pPr>
      <w:r>
        <w:rPr>
          <w:rFonts w:ascii="Times New Roman" w:hAnsi="Times New Roman" w:eastAsia="微软雅黑"/>
          <w:sz w:val="22"/>
        </w:rPr>
        <w:t>2 处理方法与实现口径</w:t>
      </w:r>
    </w:p>
    <w:p>
      <w:pPr>
        <w:spacing w:before="0" w:after="100" w:lineRule="auto" w:line="288"/>
        <w:ind w:left="340"/>
      </w:pPr>
      <w:r>
        <w:rPr>
          <w:rFonts w:ascii="Times New Roman" w:hAnsi="Times New Roman" w:eastAsia="微软雅黑"/>
          <w:sz w:val="22"/>
        </w:rPr>
        <w:t>3 评价指标设计</w:t>
      </w:r>
    </w:p>
    <w:p>
      <w:pPr>
        <w:spacing w:before="0" w:after="100" w:lineRule="auto" w:line="288"/>
        <w:ind w:left="340"/>
      </w:pPr>
      <w:r>
        <w:rPr>
          <w:rFonts w:ascii="Times New Roman" w:hAnsi="Times New Roman" w:eastAsia="微软雅黑"/>
          <w:sz w:val="22"/>
        </w:rPr>
        <w:t>4 实验结果与分析</w:t>
      </w:r>
    </w:p>
    <w:p>
      <w:pPr>
        <w:spacing w:before="0" w:after="100" w:lineRule="auto" w:line="288"/>
        <w:ind w:left="340"/>
      </w:pPr>
      <w:r>
        <w:rPr>
          <w:rFonts w:ascii="Times New Roman" w:hAnsi="Times New Roman" w:eastAsia="微软雅黑"/>
          <w:sz w:val="22"/>
        </w:rPr>
        <w:t>5 AI 建议的技术批判</w:t>
      </w:r>
    </w:p>
    <w:p>
      <w:pPr>
        <w:spacing w:before="0" w:after="100" w:lineRule="auto" w:line="288"/>
        <w:ind w:left="340"/>
      </w:pPr>
      <w:r>
        <w:rPr>
          <w:rFonts w:ascii="Times New Roman" w:hAnsi="Times New Roman" w:eastAsia="微软雅黑"/>
          <w:sz w:val="22"/>
        </w:rPr>
        <w:t>6 可复现性与程序检查</w:t>
      </w:r>
    </w:p>
    <w:p>
      <w:pPr>
        <w:spacing w:before="0" w:after="100" w:lineRule="auto" w:line="288"/>
        <w:ind w:left="340"/>
      </w:pPr>
      <w:r>
        <w:rPr>
          <w:rFonts w:ascii="Times New Roman" w:hAnsi="Times New Roman" w:eastAsia="微软雅黑"/>
          <w:sz w:val="22"/>
        </w:rPr>
        <w:t>7 结论与局限性</w:t>
      </w:r>
    </w:p>
    <w:p>
      <w:pPr>
        <w:spacing w:before="0" w:after="100" w:lineRule="auto" w:line="288"/>
        <w:ind w:left="340"/>
      </w:pPr>
      <w:r>
        <w:rPr>
          <w:rFonts w:ascii="Times New Roman" w:hAnsi="Times New Roman" w:eastAsia="微软雅黑"/>
          <w:sz w:val="22"/>
        </w:rPr>
        <w:t>参考资料</w:t>
      </w:r>
    </w:p>
    <w:p>
      <w:pPr>
        <w:pStyle w:val="Heading1"/>
      </w:pPr>
      <w:r>
        <w:t>摘要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本报告评估轨迹分段、方向去噪和 Douglas–Peucker 简化三个步骤。全量数据从 1,173,410 个点处理为 202,336 个点。分段后保留 631,602 个点，损失主要来自长度不足 65 m 的子段过滤；去噪删除 3,190 个点；5 m 容差的 DP 简化在去噪结果上压缩 67.80%，原始点到简化折线的平均、P95 和最大距离分别为 0.89 m、3.65 m 和 5.00 m。规则违规率用于验证分段代码是否满足既定条件，速度分位数、超物理速度比例和几何误差用于评价独立效果。结果表明，当前参数能形成可复现的候选基准，但 400 m 分段距离、35° 方向阈值和 5 m DP 容差仍需结合交通方式、采样周期、道路真值与人工漂移标签调整。</w:t>
      </w:r>
    </w:p>
    <w:p>
      <w:pPr>
        <w:pStyle w:val="Heading1"/>
      </w:pPr>
      <w:r>
        <w:t>1 任务要求与数据说明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实验课 PPT 要求完成轨迹数据分段、去噪和简化，并自行设计评价指标，说明指标逻辑与结果。PPT 还要求检查 AI 建议中的单位、坐标和插值假设，至少构造一组反例。老师标注的思考与讨论以及拓展内容按项目约定一并完成。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/>
        </w:trPr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本次数据或设置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原始规模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11,386 条轨迹，1,173,410 个点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坐标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经纬度输入；分段距离用球面距离，DP 几何运算用 WGS84 / UTM 51N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时间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Unix 时间戳；子轨迹内要求严格递增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主要流程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分段 → 去噪 → 简化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抽样实验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固定随机种子 20260917；低、高首尾净位移各抽 250 条</w:t>
            </w:r>
          </w:p>
        </w:tc>
      </w:tr>
    </w:tbl>
    <w:p>
      <w:pPr>
        <w:spacing w:before="0" w:after="40" w:lineRule="auto" w:line="240"/>
      </w:pP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数据经度范围为 120.386365°E 至 121.915853°E，纬度范围为 30.578117°N 至 32.239372°N。DP 使用 EPSG:32651。对数据范围内全部点计算投影尺度因子后，线性尺度约为 0.99973 至 1.00036，因此 5 m 投影容差可近似理解为 5 m 地面距离。分段阶段继续采用 Haversine 球面距离，避免把平面投影距离与既有切分规则混用。</w:t>
      </w:r>
    </w:p>
    <w:p>
      <w:pPr>
        <w:pStyle w:val="Heading1"/>
      </w:pPr>
      <w:r>
        <w:t>2 处理方法与实现口径</w:t>
      </w:r>
    </w:p>
    <w:p>
      <w:pPr>
        <w:pStyle w:val="Heading2"/>
      </w:pPr>
      <w:r>
        <w:t>2.1 参数设置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/>
        </w:trPr>
        <w:tc>
          <w:tcPr>
            <w:tcW w:type="dxa" w:w="130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19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124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7"/>
              </w:rPr>
              <w:t>默认值</w:t>
            </w:r>
          </w:p>
        </w:tc>
        <w:tc>
          <w:tcPr>
            <w:tcW w:type="dxa" w:w="464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7"/>
              </w:rPr>
              <w:t>物理含义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分段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时间间隔阈值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30 s</w:t>
            </w:r>
          </w:p>
        </w:tc>
        <w:tc>
          <w:tcPr>
            <w:tcW w:type="dxa" w:w="46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相邻点间隔超过该值时切分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分段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空间距离阈值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400 m</w:t>
            </w:r>
          </w:p>
        </w:tc>
        <w:tc>
          <w:tcPr>
            <w:tcW w:type="dxa" w:w="46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相邻点球面距离超过该值时切分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过滤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最少点数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46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少于 5 点的候选子段过滤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过滤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最短长度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65 m</w:t>
            </w:r>
          </w:p>
        </w:tc>
        <w:tc>
          <w:tcPr>
            <w:tcW w:type="dxa" w:w="46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路线长度不足 65 m 的候选子段过滤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去噪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方向阈值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35°</w:t>
            </w:r>
          </w:p>
        </w:tc>
        <w:tc>
          <w:tcPr>
            <w:tcW w:type="dxa" w:w="46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候选点前后方向均出现较大差异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去噪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两侧最小位移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5 m</w:t>
            </w:r>
          </w:p>
        </w:tc>
        <w:tc>
          <w:tcPr>
            <w:tcW w:type="dxa" w:w="46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抑制静止抖动引起的误删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简化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DP 容差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5 m</w:t>
            </w:r>
          </w:p>
        </w:tc>
        <w:tc>
          <w:tcPr>
            <w:tcW w:type="dxa" w:w="46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原始点到候选简化线段的距离阈值</w:t>
            </w:r>
          </w:p>
        </w:tc>
      </w:tr>
    </w:tbl>
    <w:p>
      <w:pPr>
        <w:spacing w:before="0" w:after="40" w:lineRule="auto" w:line="240"/>
      </w:pP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PPT 给出的 95 m 来自约 12 s 采样间隔与 25 km/h 骑行速度上界，是骑行场景示例。当前 Notebook 的 400 m 属于车辆数据候选基准，报告不将它表述为普遍最优值，而是用参数敏感性与独立速度指标检查其影响。</w:t>
      </w:r>
    </w:p>
    <w:p>
      <w:pPr>
        <w:pStyle w:val="Heading2"/>
      </w:pPr>
      <w:r>
        <w:t>2.2 轨迹分段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相邻点出现非正时间间隔、时间间隔超过 30 s 或球面距离超过 400 m 时切开。切开事件本身不删除点。算法在切开后分别检查子段点数与路线长度，只有不满足最小条件的子段才被过滤。切分原因采用互斥统计，时间与空间同时异常单列，避免重复归因。</w:t>
      </w:r>
    </w:p>
    <w:p>
      <w:pPr>
        <w:pStyle w:val="Heading2"/>
      </w:pPr>
      <w:r>
        <w:t>2.3 轨迹去噪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去噪以方向突变为主要线索，同时增加两侧位移均超过 5 m、跨点直连距离小于至少一条折线路径的条件。这样可减少静止 GPS 抖动和正常转弯被误删的风险。删除后重新计算速度与方向，保证派生数组和轨迹点数一致。</w:t>
      </w:r>
    </w:p>
    <w:p>
      <w:pPr>
        <w:pStyle w:val="Heading2"/>
      </w:pPr>
      <w:r>
        <w:t>2.4 轨迹简化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简化使用索引式 Douglas–Peucker 实现。算法反复寻找当前首尾线段之外距离最大的点，若最大距离超过容差则保留该点并继续细分，否则只保留该段首尾点。索引式实现避免重复坐标通过坐标值反查时间戳时产生歧义，并保证首尾点不变。</w:t>
      </w:r>
    </w:p>
    <w:p>
      <w:pPr>
        <w:pStyle w:val="Heading1"/>
      </w:pPr>
      <w:r>
        <w:t>3 评价指标设计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评价分为规则一致性、独立数据质量和几何保持三类。三类指标回答不同问题，不能互相替代。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/>
        </w:trPr>
        <w:tc>
          <w:tcPr>
            <w:tcW w:type="dxa" w:w="181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06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7"/>
              </w:rPr>
              <w:t>计算方式</w:t>
            </w:r>
          </w:p>
        </w:tc>
        <w:tc>
          <w:tcPr>
            <w:tcW w:type="dxa" w:w="442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7"/>
              </w:rPr>
              <w:t>用途与解释边界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规则违规比例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检查非正时间、Δt &gt; 30 s 或距离 &gt; 400 m 的相邻点对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验证分段代码是否执行正确；0% 不等于真实数据质量已改善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速度 P95 / P99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对正时间间隔计算球面距离除以 Δt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观察速度分布尾部；受保留样本组成影响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超 25 m/s 比例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速度超过 25 m/s 的相邻点对占比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独立的宽松城市机动车筛查线，不是人工真值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压缩率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1 − 简化后点数 / 简化前点数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评价存储与计算量下降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路线长度变化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简化后总长度 / 简化前总长度 − 1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检查总长度是否明显改变，但不能代表局部形状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点到简化折线距离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原始点到对应简化折线的最短距离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直接评价局部几何误差，报告平均值、P95 与最大值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合成真值案例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正常与异常轨迹的预期保留/删除结果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检查规则行为；不能替代真实轨迹人工标注</w:t>
            </w:r>
          </w:p>
        </w:tc>
      </w:tr>
    </w:tbl>
    <w:p>
      <w:pPr>
        <w:spacing w:before="0" w:after="40" w:lineRule="auto" w:line="240"/>
      </w:pPr>
    </w:p>
    <w:p>
      <w:pPr>
        <w:pStyle w:val="Heading1"/>
      </w:pPr>
      <w:r>
        <w:t>4 实验结果与分析</w:t>
      </w:r>
    </w:p>
    <w:p>
      <w:pPr>
        <w:pStyle w:val="Heading2"/>
      </w:pPr>
      <w:r>
        <w:t>4.1 全量处理结果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958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ge_cou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8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 w:lineRule="auto" w:line="264"/>
        <w:jc w:val="center"/>
      </w:pPr>
      <w:r>
        <w:rPr>
          <w:rFonts w:ascii="Times New Roman" w:hAnsi="Times New Roman" w:eastAsia="宋体"/>
          <w:color w:val="595959"/>
          <w:sz w:val="18"/>
        </w:rPr>
        <w:t>图 1  全量数据各处理阶段的轨迹点数量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分段保留 631,602 点，占原始点数的 53.83%；去噪后剩余 628,412 点，仅比完成分段的数据减少 3,190 点；5 m DP 简化后剩余 202,336 点，占原始数据的 17.24%。本次从头运行中，分段、去噪和简化分别耗时 5.83 s、6.46 s 和 8.15 s。耗时受硬件和运行环境影响，仅作为工程信息。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143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plit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 w:lineRule="auto" w:line="264"/>
        <w:jc w:val="center"/>
      </w:pPr>
      <w:r>
        <w:rPr>
          <w:rFonts w:ascii="Times New Roman" w:hAnsi="Times New Roman" w:eastAsia="宋体"/>
          <w:color w:val="595959"/>
          <w:sz w:val="18"/>
        </w:rPr>
        <w:t>图 2  分段后 46.17% 点未进入保留结果的具体来源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/>
        </w:trPr>
        <w:tc>
          <w:tcPr>
            <w:tcW w:type="dxa" w:w="249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结果类别</w:t>
            </w:r>
          </w:p>
        </w:tc>
        <w:tc>
          <w:tcPr>
            <w:tcW w:type="dxa" w:w="181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子段数</w:t>
            </w:r>
          </w:p>
        </w:tc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点数</w:t>
            </w:r>
          </w:p>
        </w:tc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占原始点数</w:t>
            </w:r>
          </w:p>
        </w:tc>
      </w:tr>
      <w:t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保留子段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19,143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631,602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53.83%</w:t>
            </w:r>
          </w:p>
        </w:tc>
      </w:tr>
      <w:t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点数少于 5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41,053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54,059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4.61%</w:t>
            </w:r>
          </w:p>
        </w:tc>
      </w:tr>
      <w:t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长度小于 65 m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7,223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487,749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41.57%</w:t>
            </w:r>
          </w:p>
        </w:tc>
      </w:tr>
      <w:t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合计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67,419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1,173,410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100.00%</w:t>
            </w:r>
          </w:p>
        </w:tc>
      </w:tr>
    </w:tbl>
    <w:p>
      <w:pPr>
        <w:spacing w:before="0" w:after="40" w:lineRule="auto" w:line="240"/>
      </w:pP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切断边界共有 56,033 个，其中非正时间间隔 42,185 个，只有时间超限 6,696 个，只有空间超限 5,576 个，时间与空间同时超限 1,576 个。切断次数描述发生分段的原因，不能直接换算成丢失点数。实际损失发生在短子段过滤阶段，其中长度不足 65 m 贡献了 487,749 个点，是主要来源。这个规则也可能过滤有意义的静止活动，因此保留率低并不能单独说明处理质量。</w:t>
      </w:r>
    </w:p>
    <w:p>
      <w:pPr>
        <w:pStyle w:val="Heading2"/>
      </w:pPr>
      <w:r>
        <w:t>4.2 规则一致性与独立速度指标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rPr>
          <w:tblHeader/>
        </w:trPr>
        <w:tc>
          <w:tcPr>
            <w:tcW w:type="dxa" w:w="124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24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5"/>
              </w:rPr>
              <w:t>轨迹数</w:t>
            </w:r>
          </w:p>
        </w:tc>
        <w:tc>
          <w:tcPr>
            <w:tcW w:type="dxa" w:w="170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5"/>
              </w:rPr>
              <w:t>点数</w:t>
            </w:r>
          </w:p>
        </w:tc>
        <w:tc>
          <w:tcPr>
            <w:tcW w:type="dxa" w:w="136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5"/>
              </w:rPr>
              <w:t>规则违规</w:t>
            </w:r>
          </w:p>
        </w:tc>
        <w:tc>
          <w:tcPr>
            <w:tcW w:type="dxa" w:w="136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5"/>
              </w:rPr>
              <w:t>速度 P95</w:t>
            </w:r>
          </w:p>
        </w:tc>
        <w:tc>
          <w:tcPr>
            <w:tcW w:type="dxa" w:w="136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5"/>
              </w:rPr>
              <w:t>速度 P99</w:t>
            </w:r>
          </w:p>
        </w:tc>
        <w:tc>
          <w:tcPr>
            <w:tcW w:type="dxa" w:w="136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5"/>
              </w:rPr>
              <w:t>超 25 m/s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5"/>
              </w:rPr>
              <w:t>原始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11,386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1,173,410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4.822%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17.564 m/s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29.418 m/s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1.528%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5"/>
              </w:rPr>
              <w:t>分段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19,143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631,602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0.000%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19.812 m/s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37.030 m/s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2.206%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5"/>
              </w:rPr>
              <w:t>去噪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19,143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628,412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0.082%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19.822 m/s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37.011 m/s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2.207%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5"/>
              </w:rPr>
              <w:t>简化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19,143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202,336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31.327%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21.849 m/s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39.507 m/s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5"/>
              </w:rPr>
              <w:t>2.911%</w:t>
            </w:r>
          </w:p>
        </w:tc>
      </w:tr>
    </w:tbl>
    <w:p>
      <w:pPr>
        <w:spacing w:before="0" w:after="40" w:lineRule="auto" w:line="240"/>
      </w:pP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分段后的规则违规比例为 0%，说明所有保留子轨迹均满足既定切分条件。速度 P95 与超 25 m/s 比例没有同步下降。原始与分段后的超 25 m/s 相邻点绝对数从 17,108 降为 13,511，但正时间相邻点分母从 1,119,839 降为 612,459，比例反而由 1.53% 升为 2.21%。这反映了过滤后样本组成发生变化，不能据此宣称速度质量改善。去噪和 DP 会连接原本不相邻的点，因此后续规则违规率可以回升；特别是 DP 后相邻点跨越更长时间与距离，不宜直接和原始相邻点比较。</w:t>
      </w:r>
    </w:p>
    <w:p>
      <w:pPr>
        <w:pStyle w:val="Heading2"/>
      </w:pPr>
      <w:r>
        <w:t>4.3 分段参数敏感性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参数实验使用同一批 500 条轨迹，共 51,478 个点。按照首尾净位移是否达到 100 m 分层，每层固定随机抽取 250 条。分层用于比较参数趋势，不代表全体数据的自然比例；回环轨迹也可能因净位移较小而被划入低位移层。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57800" cy="37029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plit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0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 w:lineRule="auto" w:line="264"/>
        <w:jc w:val="center"/>
      </w:pPr>
      <w:r>
        <w:rPr>
          <w:rFonts w:ascii="Times New Roman" w:hAnsi="Times New Roman" w:eastAsia="宋体"/>
          <w:color w:val="595959"/>
          <w:sz w:val="18"/>
        </w:rPr>
        <w:t>图 3  时间阈值与空间阈值对点数保留率的影响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空间阈值固定为 400 m 时，时间阈值从 15 s 增至 30 s，保留率由 29.37% 增至 56.02%；继续放宽到 120 s，保留率仅增至 56.74%。因此只能说 30 s 之后保留率增幅明显变小。时间阈值固定为 30 s 时，空间阈值从 95 m 放宽到 400 m，保留率由 34.58% 增至 56.02%。95 m 对当前数据明显更严格，但 400 m 的物理合理性仍需结合交通方式和道路真值判断。</w:t>
      </w:r>
    </w:p>
    <w:p>
      <w:pPr>
        <w:pStyle w:val="Heading2"/>
      </w:pPr>
      <w:r>
        <w:t>4.4 去噪效果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9567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noise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56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 w:lineRule="auto" w:line="264"/>
        <w:jc w:val="center"/>
      </w:pPr>
      <w:r>
        <w:rPr>
          <w:rFonts w:ascii="Times New Roman" w:hAnsi="Times New Roman" w:eastAsia="宋体"/>
          <w:color w:val="595959"/>
          <w:sz w:val="18"/>
        </w:rPr>
        <w:t>图 4  方向阈值对删除点数与独立速度指标的影响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在抽样数据上，方向阈值从 20° 增至 70°，删除点数从 177 降到 82，删除比例从 0.614% 降到 0.284%。超 25 m/s 比例始终约为 2.12%，说明这组去噪规则主要针对局部形状突变，没有在速度尾部指标上表现出明显改善。删除比例低只能说明规则较保守，不能当作误删率低的证据。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/>
        </w:trPr>
        <w:tc>
          <w:tcPr>
            <w:tcW w:type="dxa" w:w="317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合成案例</w:t>
            </w:r>
          </w:p>
        </w:tc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期望</w:t>
            </w:r>
          </w:p>
        </w:tc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实际</w:t>
            </w:r>
          </w:p>
        </w:tc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正常直线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保留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保留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符合</w:t>
            </w:r>
          </w:p>
        </w:tc>
      </w:tr>
      <w:tr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正常 90° 转弯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保留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保留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符合</w:t>
            </w:r>
          </w:p>
        </w:tc>
      </w:tr>
      <w:tr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U-turn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保留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保留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符合</w:t>
            </w:r>
          </w:p>
        </w:tc>
      </w:tr>
      <w:tr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静止 GPS 抖动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保留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保留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符合</w:t>
            </w:r>
          </w:p>
        </w:tc>
      </w:tr>
      <w:tr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单点漂移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删除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删除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符合</w:t>
            </w:r>
          </w:p>
        </w:tc>
      </w:tr>
    </w:tbl>
    <w:p>
      <w:pPr>
        <w:spacing w:before="0" w:after="40" w:lineRule="auto" w:line="240"/>
      </w:pP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五组合成案例均得到预期结果，说明新增距离条件能保留正常转弯、回转与小幅静止抖动，同时识别单点漂移。合成案例的真值由构造过程给出，但真实 GPS 数据尚未进行人工标注，因此不能据此计算真实准确率或误删率。</w:t>
      </w:r>
    </w:p>
    <w:p>
      <w:pPr>
        <w:pStyle w:val="Heading2"/>
      </w:pPr>
      <w:r>
        <w:t>4.5 DP 简化效果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1682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p_tradeo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68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 w:lineRule="auto" w:line="264"/>
        <w:jc w:val="center"/>
      </w:pPr>
      <w:r>
        <w:rPr>
          <w:rFonts w:ascii="Times New Roman" w:hAnsi="Times New Roman" w:eastAsia="宋体"/>
          <w:color w:val="595959"/>
          <w:sz w:val="18"/>
        </w:rPr>
        <w:t>图 5  DP 容差的压缩率与局部几何误差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/>
        </w:trPr>
        <w:tc>
          <w:tcPr>
            <w:tcW w:type="dxa" w:w="136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7"/>
              </w:rPr>
              <w:t>容差</w:t>
            </w:r>
          </w:p>
        </w:tc>
        <w:tc>
          <w:tcPr>
            <w:tcW w:type="dxa" w:w="158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7"/>
              </w:rPr>
              <w:t>压缩率</w:t>
            </w:r>
          </w:p>
        </w:tc>
        <w:tc>
          <w:tcPr>
            <w:tcW w:type="dxa" w:w="158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7"/>
              </w:rPr>
              <w:t>长度变化</w:t>
            </w:r>
          </w:p>
        </w:tc>
        <w:tc>
          <w:tcPr>
            <w:tcW w:type="dxa" w:w="158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7"/>
              </w:rPr>
              <w:t>平均误差</w:t>
            </w:r>
          </w:p>
        </w:tc>
        <w:tc>
          <w:tcPr>
            <w:tcW w:type="dxa" w:w="158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7"/>
              </w:rPr>
              <w:t>P95 误差</w:t>
            </w:r>
          </w:p>
        </w:tc>
        <w:tc>
          <w:tcPr>
            <w:tcW w:type="dxa" w:w="158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7"/>
              </w:rPr>
              <w:t>最大误差</w:t>
            </w:r>
          </w:p>
        </w:tc>
      </w:tr>
      <w:t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2 m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55.143%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−0.102%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0.291 m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1.448 m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2.000 m</w:t>
            </w:r>
          </w:p>
        </w:tc>
      </w:tr>
      <w:t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5 m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67.036%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−0.283%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0.853 m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3.599 m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4.994 m</w:t>
            </w:r>
          </w:p>
        </w:tc>
      </w:tr>
      <w:t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10 m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75.887%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−0.615%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1.982 m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7.385 m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9.993 m</w:t>
            </w:r>
          </w:p>
        </w:tc>
      </w:tr>
      <w:t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20 m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82.280%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−1.084%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4.014 m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13.900 m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  <w:vAlign w:val="center"/>
          </w:tcPr>
          <w:p>
            <w:pPr>
              <w:spacing w:before="0" w:after="0" w:lineRule="auto" w:line="252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19.998 m</w:t>
            </w:r>
          </w:p>
        </w:tc>
      </w:tr>
    </w:tbl>
    <w:p>
      <w:pPr>
        <w:spacing w:before="0" w:after="40" w:lineRule="auto" w:line="240"/>
      </w:pP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5 m 容差在抽样数据上压缩 67.04%，P95 几何误差为 3.60 m；全量数据上的压缩率为 67.80%，平均、P95 与最大误差为 0.89 m、3.65 m 和 5.00 m，全部轨迹首尾点保持不变。总路线长度仅变化 −0.28%，但总长度接近并不保证局部位置接近，因此参数判断以压缩率和点到折线误差共同为依据。5 m 可作为当前候选基准，不能称为绝对最优。</w:t>
      </w:r>
    </w:p>
    <w:p>
      <w:pPr>
        <w:pStyle w:val="Heading2"/>
      </w:pPr>
      <w:r>
        <w:t>4.6 动态空间阈值拓展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拓展实验在固定 400 m 上限之外增加“25 m/s × 实际时间差 × 1.5 安全系数”的动态约束，用于切断短时间内不合理的大位移。该方案与教师基准并行比较，没有直接替换原方案。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40680" cy="23801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ynamic_thresho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38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 w:lineRule="auto" w:line="264"/>
        <w:jc w:val="center"/>
      </w:pPr>
      <w:r>
        <w:rPr>
          <w:rFonts w:ascii="Times New Roman" w:hAnsi="Times New Roman" w:eastAsia="宋体"/>
          <w:color w:val="595959"/>
          <w:sz w:val="18"/>
        </w:rPr>
        <w:t>图 6  动态空间约束的点数代价与速度异常变化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动态约束额外触发 337 个切分边界，保留点数从 28,837 降为 28,438，保留率由 56.02% 降为 55.24%；速度 P99 由 35.96 m/s 降为 25.38 m/s，超 25 m/s 比例由 2.12% 降为 1.10%。该结果显示速度异常筛查的潜在收益，同时付出 399 个点的损失。由于时间戳也可能出错，且没有道路真值，当前仍保留固定 400 m 方案作为基准。</w:t>
      </w:r>
    </w:p>
    <w:p>
      <w:pPr>
        <w:pStyle w:val="Heading2"/>
      </w:pPr>
      <w:r>
        <w:t>4.7 真实轨迹形状核验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1663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_real_examp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66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 w:lineRule="auto" w:line="264"/>
        <w:jc w:val="center"/>
      </w:pPr>
      <w:r>
        <w:rPr>
          <w:rFonts w:ascii="Times New Roman" w:hAnsi="Times New Roman" w:eastAsia="宋体"/>
          <w:color w:val="595959"/>
          <w:sz w:val="18"/>
        </w:rPr>
        <w:t>图 7  中断、漂移与弯道轨迹的处理前后叠加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轨迹 2200 检出 5 个切断位置，分段后保留 2 段；直接连接断点会形成图中的灰色虚假路径。轨迹 7552_1 删除 8 个候选漂移点，红叉对应明显离开主线的绕行，但该样本尚无人工真值。弯道轨迹 7355_0 从 101 点简化为 61 点，关键转向位置仍有保留点。三条轨迹用于解释指标，不代表总体准确率。图中坐标采用 UTM 51N 米制投影。</w:t>
      </w:r>
    </w:p>
    <w:p>
      <w:pPr>
        <w:pStyle w:val="Heading1"/>
      </w:pPr>
      <w:r>
        <w:t>5 AI 建议的技术批判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按照 PPT 要求，将“缺失轨迹点一律线性插值”视为待验证建议。该建议隐含缺失期间沿直线匀速运动。在构造的 90° 转弯反例中，起点、拐点和终点沿折线路径运动，直接连接起终点得到的中点偏离已知路线 47.65 m。距离使用与 DP 一致的 UTM 51N 米制口径重新计算。</w:t>
      </w:r>
    </w:p>
    <w:p>
      <w:pPr>
        <w:pStyle w:val="ListBullet"/>
        <w:spacing w:before="0" w:after="60" w:lineRule="auto" w:line="300"/>
        <w:ind w:left="425" w:hanging="198"/>
      </w:pPr>
      <w:r>
        <w:rPr>
          <w:rFonts w:ascii="Times New Roman" w:hAnsi="Times New Roman" w:eastAsia="宋体"/>
          <w:sz w:val="21"/>
        </w:rPr>
        <w:t>拒绝无条件线性插值。长缺口优先分段，短缺口也要核对运动状态和道路形状。</w:t>
      </w:r>
    </w:p>
    <w:p>
      <w:pPr>
        <w:pStyle w:val="ListBullet"/>
        <w:spacing w:before="0" w:after="60" w:lineRule="auto" w:line="300"/>
        <w:ind w:left="425" w:hanging="198"/>
      </w:pPr>
      <w:r>
        <w:rPr>
          <w:rFonts w:ascii="Times New Roman" w:hAnsi="Times New Roman" w:eastAsia="宋体"/>
          <w:sz w:val="21"/>
        </w:rPr>
        <w:t>拒绝把经纬度差直接解释为米。分段使用球面距离，几何运算使用局部米制投影。</w:t>
      </w:r>
    </w:p>
    <w:p>
      <w:pPr>
        <w:pStyle w:val="ListBullet"/>
        <w:spacing w:before="0" w:after="60" w:lineRule="auto" w:line="300"/>
        <w:ind w:left="425" w:hanging="198"/>
      </w:pPr>
      <w:r>
        <w:rPr>
          <w:rFonts w:ascii="Times New Roman" w:hAnsi="Times New Roman" w:eastAsia="宋体"/>
          <w:sz w:val="21"/>
        </w:rPr>
        <w:t>拒绝不写单位的速度阈值。25 km/h 等于约 6.94 m/s，25 m/s 等于 90 km/h，二者适用场景不同。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这些结论来自物理假设检查和可复现实验。AI 建议只用于提出待检验方案，最终参数与处理方式由数据、单位、坐标口径和反例共同约束。AI 使用过程与交互证据另见独立的 AI 使用记录，不在本评估报告中重复。</w:t>
      </w:r>
    </w:p>
    <w:p>
      <w:pPr>
        <w:pStyle w:val="Heading1"/>
      </w:pPr>
      <w:r>
        <w:t>6 可复现性与程序检查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Notebook 从头运行时执行以下不变量检查，全部通过：</w:t>
      </w:r>
    </w:p>
    <w:p>
      <w:pPr>
        <w:pStyle w:val="ListBullet"/>
        <w:spacing w:before="0" w:after="60" w:lineRule="auto" w:line="300"/>
        <w:ind w:left="425" w:hanging="198"/>
      </w:pPr>
      <w:r>
        <w:rPr>
          <w:rFonts w:ascii="Times New Roman" w:hAnsi="Times New Roman" w:eastAsia="宋体"/>
          <w:sz w:val="21"/>
        </w:rPr>
        <w:t>时间戳数组与坐标数组长度始终一致。</w:t>
      </w:r>
    </w:p>
    <w:p>
      <w:pPr>
        <w:pStyle w:val="ListBullet"/>
        <w:spacing w:before="0" w:after="60" w:lineRule="auto" w:line="300"/>
        <w:ind w:left="425" w:hanging="198"/>
      </w:pPr>
      <w:r>
        <w:rPr>
          <w:rFonts w:ascii="Times New Roman" w:hAnsi="Times New Roman" w:eastAsia="宋体"/>
          <w:sz w:val="21"/>
        </w:rPr>
        <w:t>分段后的每条子轨迹时间戳严格递增，点数不少于 5，路线长度不少于 65 m。</w:t>
      </w:r>
    </w:p>
    <w:p>
      <w:pPr>
        <w:pStyle w:val="ListBullet"/>
        <w:spacing w:before="0" w:after="60" w:lineRule="auto" w:line="300"/>
        <w:ind w:left="425" w:hanging="198"/>
      </w:pPr>
      <w:r>
        <w:rPr>
          <w:rFonts w:ascii="Times New Roman" w:hAnsi="Times New Roman" w:eastAsia="宋体"/>
          <w:sz w:val="21"/>
        </w:rPr>
        <w:t>去噪和简化后重新计算的速度、方向数组与轨迹点数一致。</w:t>
      </w:r>
    </w:p>
    <w:p>
      <w:pPr>
        <w:pStyle w:val="ListBullet"/>
        <w:spacing w:before="0" w:after="60" w:lineRule="auto" w:line="300"/>
        <w:ind w:left="425" w:hanging="198"/>
      </w:pPr>
      <w:r>
        <w:rPr>
          <w:rFonts w:ascii="Times New Roman" w:hAnsi="Times New Roman" w:eastAsia="宋体"/>
          <w:sz w:val="21"/>
        </w:rPr>
        <w:t>简化后点数不超过简化前，且首尾时间戳与坐标保持一致。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三组参数实验使用同一批分层样本与固定随机种子 20260917，保证不同参数结果可比。完整实现、输出和图像保存在作业 Notebook 中。报告中的全量统计、抽样参数表和轨迹编号均来自该 Notebook 的实际执行结果。</w:t>
      </w:r>
    </w:p>
    <w:p>
      <w:pPr>
        <w:pStyle w:val="Heading1"/>
      </w:pPr>
      <w:r>
        <w:t>7 结论与局限性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本次实现完成了分段、去噪与简化，并为每一步设置了与其目标相匹配的证据。分段代码满足既定规则，但独立速度指标没有证明质量整体改善；分段后的点数损失主要来自 65 m 最小长度过滤。方向去噪规则在合成案例中表现符合预期，在真实数据上删除比例约 0.51%，但缺少人工标签，不能计算误删率。5 m DP 容差在当前数据上获得约 67.8% 压缩率和 3.65 m 的 P95 几何误差，形成了可解释的候选基准。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当前最大限制是缺少道路真值、交通方式标签和真实漂移点人工标注。低于 65 m 的子段过滤了 487,749 个点，其中可能包含静止、短程或采样稀疏但有意义的活动。固定 400 m 距离阈值对不同时间间隔采用同一上限，动态速度约束虽然降低了速度异常比例，也依赖时间戳可靠性。后续若获得标注，可按交通方式和运动状态分层，报告去噪的精确率与召回率，并用道路匹配误差检验简化轨迹。</w:t>
      </w:r>
    </w:p>
    <w:p>
      <w:pPr>
        <w:spacing w:before="0" w:after="100" w:lineRule="auto" w:line="312"/>
        <w:ind w:firstLine="420"/>
        <w:jc w:val="both"/>
      </w:pPr>
      <w:r>
        <w:rPr>
          <w:rFonts w:ascii="Times New Roman" w:hAnsi="Times New Roman" w:eastAsia="宋体"/>
          <w:sz w:val="21"/>
        </w:rPr>
        <w:t>因此，30 s、400 m、35° 和 5 m 应被理解为当前数据与任务下的候选参数。更换采样周期、交通方式或下游任务时，需要重新执行相同的敏感性实验与形状核验。</w:t>
      </w:r>
    </w:p>
    <w:p>
      <w:pPr>
        <w:pStyle w:val="Heading1"/>
      </w:pPr>
      <w:r>
        <w:t>参考资料</w:t>
      </w:r>
    </w:p>
    <w:p>
      <w:pPr>
        <w:spacing w:before="0" w:after="40" w:lineRule="auto" w:line="259"/>
        <w:ind w:left="397" w:hanging="397"/>
      </w:pPr>
      <w:r>
        <w:rPr>
          <w:rFonts w:ascii="Times New Roman" w:hAnsi="Times New Roman" w:eastAsia="宋体"/>
          <w:sz w:val="17"/>
        </w:rPr>
        <w:t>[1] 《智慧城市与位置服务》实验课 1：轨迹数据质量提升与轨迹数据预处理，课程 PPT，2026-09-17。</w:t>
      </w:r>
    </w:p>
    <w:p>
      <w:pPr>
        <w:spacing w:before="0" w:after="40" w:lineRule="auto" w:line="259"/>
        <w:ind w:left="397" w:hanging="397"/>
      </w:pPr>
      <w:r>
        <w:rPr>
          <w:rFonts w:ascii="Times New Roman" w:hAnsi="Times New Roman" w:eastAsia="宋体"/>
          <w:sz w:val="17"/>
        </w:rPr>
        <w:t>[2] Douglas, D. H., &amp; Peucker, T. K. Algorithms for the Reduction of the Number of Points Required to Represent a Digitized Line or Its Caricature. The Canadian Cartographer, 10(2), 112–122, 1973. DOI: 10.3138/FM57-6770-U75U-7727.</w:t>
      </w:r>
    </w:p>
    <w:p>
      <w:pPr>
        <w:spacing w:before="0" w:after="40" w:lineRule="auto" w:line="259"/>
        <w:ind w:left="397" w:hanging="397"/>
      </w:pPr>
      <w:r>
        <w:rPr>
          <w:rFonts w:ascii="Times New Roman" w:hAnsi="Times New Roman" w:eastAsia="宋体"/>
          <w:sz w:val="17"/>
        </w:rPr>
        <w:t>[3] PROJ Contributors. Universal Transverse Mercator (UTM) documentation. https://proj.org/en/stable/operations/projections/utm.html</w:t>
      </w:r>
    </w:p>
    <w:p>
      <w:pPr>
        <w:spacing w:before="0" w:after="40" w:lineRule="auto" w:line="259"/>
        <w:ind w:left="397" w:hanging="397"/>
      </w:pPr>
      <w:r>
        <w:rPr>
          <w:rFonts w:ascii="Times New Roman" w:hAnsi="Times New Roman" w:eastAsia="宋体"/>
          <w:sz w:val="17"/>
        </w:rPr>
        <w:t>[4] 作业 1 轨迹数据预处理.ipynb，本项目实现与实验输出。</w:t>
      </w:r>
    </w:p>
    <w:sectPr w:rsidR="00FC693F" w:rsidRPr="0006063C" w:rsidSect="00034616">
      <w:headerReference w:type="default" r:id="rId16"/>
      <w:footerReference w:type="default" r:id="rId17"/>
      <w:pgSz w:w="11906" w:h="16838"/>
      <w:pgMar w:top="1247" w:right="1361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777777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微软雅黑"/>
        <w:color w:val="777777"/>
        <w:sz w:val="17"/>
      </w:rPr>
      <w:t>轨迹数据预处理评估报告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轨迹数据预处理评估报告</dc:title>
  <dc:subject>《智慧城市与位置服务》实验一</dc:subject>
  <dc:creator>python-docx</dc:creator>
  <cp:keywords>轨迹分段, 轨迹去噪, Douglas-Peucker, 数据质量评估</cp:keywords>
  <dc:description>由实验 Notebook 的实际运行结果整理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