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Indicium - Análise de Dados - Leonardo Guchert Miranda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Documentação de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 Comercial — BanVic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Objetivo do documento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registra as definições, fórmulas e regras de negócio aplicadas na construção do Dashboard Comercial do BanVic, permitindo que qualquer pessoa (analista, gestor ou avaliador) compreenda como cada indicador foi calculado e quais ajustes metodológicos foram necessários para garantir a confiabilidade dos números apresentados.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Fontes de dados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dashboard consome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 tabelas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(7 tabelas de origem dos dados + 1 tabela de apoio criada manualmente), com os seguintes papéis e relacionamentos no modelo: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400"/>
        <w:tblGridChange w:id="0">
          <w:tblGrid>
            <w:gridCol w:w="2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2f4858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485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4858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Relaciona-se 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agencias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Dimensão de agências (física/digital)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contas, colaborador_agencia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Dimensão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Dimensão de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colaborador_agencia, propostas_credito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colaborador_agencia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Ponte colaborador ↔ agência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agencias, 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Fato de contas bancárias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clientes, agencias, transacoes, Calendario (inativo)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propostas_credito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Fato de propostas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colaboradores → colaborador_agencia → agencias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transacoes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Fato de 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contas, Calendario (ativo)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Calendario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Dimensão de datas (criada manualmente)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transacoes (ativo), contas (inativo)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Chaves de relacionamento: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contas.cod_cliente → clientes.cod_cliente · contas.cod_agencia → agencias.cod_agencia · transacoes.num_conta → contas.num_conta · propostas_credito.cod_colaborador → colaborador_agencia.cod_colaborador → agencias.cod_agencia · Calendario.Date → transacoes.DataTransacao_Dia (ativo) · Calendario.Date → contas.DataAbertura_Dia (inativo, ativado via USERELATIONSHIP na medida Contas Acumuladas)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Regras de tratamento de dados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Todas as colunas de data foram convertidas de texto para o tipo Data/Hora. Os valores originais traziam sufixo de fuso horário (UTC), tratado na importação.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Colunas de código (cod_cliente, num_conta, cod_agencia, etc.) foram mantidas como texto, para evitar agregações numéricas indevidas (soma, média) sobre identificadores.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Valores de valor_transacao são tratados em módulo (valor absoluto) nos cálculos de ticket médio, já que a coluna contém valores negativos representando saídas/débitos.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Data/Hora automática desativada.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recurso "Data/Hora automática" do Power BI Desktop (que cria hierarquias ocultas de Ano/Trimestre/Mês/Dia para toda coluna de data) foi desativado em Opções → Arquivo Atual → Carregamento de Dados. Esse recurso gerava eixos de tempo com períodos fantasmas (ex.: um "2023" vazio aparecendo em gráficos mensais) por estender o intervalo além dos dados reais. Em seu lugar, foi criada a tabela Calendario (ver seção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Colunas de data com componente de hora.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data_transacao e data_abertura continham hora/minuto/segundo, incompatível para relacionamento direto com uma tabela calendário (que opera em granularidade de dia). Foram criadas as colunas auxiliares transacoes[DataTransacao_Dia] e contas[DataAbertura_Dia], truncando a hora, para servir de chave de relacionamento com Calendario.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Tabela de apoio — Calendario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Foi criada uma tabela calendário própria (Modelagem → Nova Tabela), com uma linha por dia entre a menor e a maior data observadas nas tabelas transacoes e contas: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Calendario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MinTransacoes = MIN(transacoes[data_transacao])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MinContas = MIN(contas[data_abertura])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DataInicio = IF(MinTransacoes &lt; MinContas, MinTransacoes, MinContas)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MaxTransacoes = MAX(transacoes[data_transacao])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MaxContas = MAX(contas[data_abertura])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DataFim = IF(MaxTransacoes &gt; MaxContas, MaxTransacoes, MaxContas)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CALENDAR(DataInicio, DataFim)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Colunas de apoio criadas na tabela: Ano (YEAR), AnoMes (formato "YYYY-MM", usado como eixo padrão dos gráficos mensais) e AnoMesOrdem (YYYYMM numérico, usado apenas para ordenação cronológica correta do campo AnoMes). A tabela foi marcada como Tabela de Datas oficial do modelo (coluna 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Relacionamento com contas: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mantido inativo para evitar ambiguidade de caminhos (contas já se relaciona com transacoes, que por sua vez se relaciona com Calendario — dois relacionamentos ativos simultâneos entre as mesmas tabelas não são permitidos pelo motor do Power BI). A relação é ativada pontualmente dentro da medida Contas Acumuladas (ver seção 6.6), via USERELATIONSHIP.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Anomalia de dados identificada — Dezembro/2022 e Janeiro/2023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Achado: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mês de dezembro/2022 concentra 68% de todas as transações do ano (25.319 de 36.679), um volume entre 13 e 40 vezes superior a qualquer outro mês do mesmo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Investigação realizada: a composição por tipo de transação em dezembro/2022 é estatisticamente equivalente à de novembro/2022 (variação máxima de 1 ponto percentual por categoria — ex.: Pix Realizado 29% vs. 30%, Compra Crédito 29% vs. 28%). Essa equivalência descarta a hipótese de um evento de negócio real e direcionado (ex.: campanha promocional), e aponta para uma característica da geração ou exportação da base de dados, não um comportamento real de clientes. Uma inspeção adicional da tabela transacoes mostrou múltiplas linhas distintas (contas e valores diferentes) compartilhando o timestamp idêntico 29/12/2022 23:59:58, reforçando a hipótese de um lote de carga/geração de dados concentrado numa única marca de tempo, em vez de transações reais distribuídas ao longo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 aplicada (KPIs):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qualquer indicador que dependa de "última atividade do cliente" ou de agregações temporais recentes deve ser calculado com corte em 30/11/2022, excluindo o mês anômalo, para evitar distorção. Essa regra afeta diretamente a Taxa de Inatividade (seção 6.2) e Transações por Cliente/Mês (seção 6.1).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 aplicada (visuais de série temporal):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gráficos "Volume de transações/mês" e "Adoção do Pix" aplicam um filtro de nível de visual em Calendario[AnoMes], excluindo os pontos 2022-12 e 2023-01. Dezembro/2022 é excluído por representar a concentração anômala descrita acima; janeiro/2023 é excluído por ser um mês parcial (dados truncados nos primeiros dias do ano), cuja inclusão geraria uma queda artificial de fim de série, não uma retração real de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Definição dos KPIs</w:t>
      </w:r>
    </w:p>
    <w:p w:rsidR="00000000" w:rsidDel="00000000" w:rsidP="00000000" w:rsidRDefault="00000000" w:rsidRPr="00000000" w14:paraId="0000003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6.1 Transações por cliente/mês</w:t>
      </w:r>
    </w:p>
    <w:p w:rsidR="00000000" w:rsidDel="00000000" w:rsidP="00000000" w:rsidRDefault="00000000" w:rsidRPr="00000000" w14:paraId="00000037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Transacoes por Cliente Mes (12m)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DataFim = DATE(2022, 11, 30)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DataInicio = DATE(2021, 12, 1)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TransacoesPeriodo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CALCULATE(COUNTROWS(transacoes),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transacoes[data_transacao] &gt;= DataInicio,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transacoes[data_transacao] &lt;= DataFim)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ClientesAtivos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CALCULATE(DISTINCTCOUNT(contas[cod_cliente]),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transacoes[data_transacao] &gt;= DataInicio,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transacoes[data_transacao] &lt;= DataFim)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 DIVIDE(TransacoesPeriodo, ClientesAtivos *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calculado sobre uma janela fixa dos últimos 12 meses completos e não anômalos (dez/2021 a nov/2022), em vez do histórico total (2010-2023). O cálculo sobre o histórico completo dilui a média (resultado de 0,46) porque misturam anos em que a base de clientes ainda era pequena; o recorte recente (resultado de 0,99) reflete melhor o comportamento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e8a33d" w:space="0" w:sz="24" w:val="single"/>
        </w:pBdr>
        <w:shd w:fill="fff4e5" w:val="clear"/>
        <w:spacing w:after="200" w:before="120" w:lineRule="auto"/>
        <w:ind w:left="150" w:right="1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Nota técnica — pendente de verificação: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variável ClientesAtivos filtra transacoes[data_transacao] mas conta DISTINCTCOUNT sobre uma coluna de contas. Como o relacionamento contas → transacoes é de sentido único, esse filtro pode não propagar de volta para contas, fazendo ClientesAtivos contar todos os clientes distintos da base (ignorando a janela de 12 meses), não apenas os ativos no período. Verificar comparando o resultado da variável com DISTINCTCOUNT(contas[cod_cliente]) sem filtro algum — se os valores coincidirem, o bug está confirmado e a correção é adicionar CROSSFILTER(contas[num_conta], transacoes[num_conta], BOTH) dentro do CALCULATE de ClientesAtivos. O resultado de referência abaixo (0,99) deve ser reconfirmado após esse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 de referência: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0,99 transações/cliente/mês (a confirmar — ver nota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6.2 Taxa de clientes inativos (ajustada)</w:t>
      </w:r>
    </w:p>
    <w:p w:rsidR="00000000" w:rsidDel="00000000" w:rsidP="00000000" w:rsidRDefault="00000000" w:rsidRPr="00000000" w14:paraId="0000003C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Taxa Inatividade Ajustada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DataCorte = DATE(2022, 11, 30)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TabelaAtivos = FILTER(UltimaTransacaoCliente,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UltimaTransacaoCliente[UltimaTransacao] &lt;= DataCorte &amp;&amp;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NOT ISBLANK(UltimaTransacaoCliente[UltimaTransacao]))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TotalClientes = COUNTROWS(TabelaAtivos)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Inativos = COUNTROWS(FILTER(TabelaAtivos,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DATEDIFF(UltimaTransacaoCliente[UltimaTransacao], DataCorte, DAY) &gt; 360))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 DIVIDE(Inativos, TotalClientes)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Definição de "inativo": cliente sem nenhuma transação registrada nos últimos 360 dias corridos, contados a partir da data de corte.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a data de corte é fixada em 30/11/2022, e não na última data do dataset (31/12/2022), devido à anomalia descrita na seção 5. Um cálculo simples com corte em 31/12/2022 indicaria 21,1% de inatividade — número artificialmente baixo, pois o pico de transações de dezembro faz quase toda a base parecer "ativa" apenas por coincidência de calendário. O corte ajustado (30/11/2022) resulta em 64,2%, valor consistente com o padrão histórico observado em 2020 (75,7%).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 de referência: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64,2%.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6.3 Percentual de contas por tipo de agência (Física vs. Digital)</w:t>
      </w:r>
    </w:p>
    <w:p w:rsidR="00000000" w:rsidDel="00000000" w:rsidP="00000000" w:rsidRDefault="00000000" w:rsidRPr="00000000" w14:paraId="00000041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Pct Contas por Tipo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DIVIDE(COUNTROWS(contas), CALCULATE(COUNTROWS(contas), ALL(agencias)))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representa o estoque acumulado de contas até a data mais recente da base, por tipo de agência (agencias[tipo_agencia]). A distinção Física/Digital é uma propriedade da agência, não dá conta em si — a coluna contas[tipo_conta] não deve ser usada para essa categorização, pois representa apenas Pessoa Física/Jurídica (PF/PJ) do titular, um conceito diferente. Essa mesma chave (agencias[tipo_agencia]) é usada de forma consistente como campo de legenda no gráfico "Contas acumuladas: Física vs Digital". Não distingue o tempo de existência de cada canal (a Agência Digital opera desde 2015, a Física desde 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 de referência: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Física 54,0% / Digital 46,0%.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6.4 Ticket médio de transação (mediana)</w:t>
      </w:r>
    </w:p>
    <w:p w:rsidR="00000000" w:rsidDel="00000000" w:rsidP="00000000" w:rsidRDefault="00000000" w:rsidRPr="00000000" w14:paraId="00000045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Ticket Medio Mediana = MEDIANX(transacoes, ABS(transacoes[valor_transacao]))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utiliza mediana, não média, porque a distribuição de valores de transação apresenta cauda longa (poucas transações de valor muito alto poderiam distorcer a média para cima). Valores tratados em módulo por conterem sinal negativo (débitos).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 de referência: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R$ 3.360,00 (aprox.).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6.5 Percentual de propostas de crédito por tipo de agência</w:t>
      </w:r>
    </w:p>
    <w:p w:rsidR="00000000" w:rsidDel="00000000" w:rsidP="00000000" w:rsidRDefault="00000000" w:rsidRPr="00000000" w14:paraId="00000049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Pct Propostas por Tipo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DIVIDE(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CALCULATE(COUNTROWS(propostas_credito),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USERELATIONSHIP(colaborador_agencia[cod_colaborador], propostas_credito[cod_colaborador])),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CALCULATE(COUNTROWS(propostas_credito), ALL(agencias),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USERELATIONSHIP(colaborador_agencia[cod_colaborador], propostas_credito[cod_colaborador]))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mede a fatia de propostas de crédito originadas por cada tipo de agência, via relacionamento colaborador → agência.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Achado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Física 92,5% / Digital 7,5% — uma desproporção de mais de 6x em relação à participação em contas (item 6.3), evidenciando que o canal digital capta clientes mas ainda não converte proporcionalmente em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6.6 Contas acumuladas</w:t>
      </w:r>
    </w:p>
    <w:p w:rsidR="00000000" w:rsidDel="00000000" w:rsidP="00000000" w:rsidRDefault="00000000" w:rsidRPr="00000000" w14:paraId="0000004D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Contas Acumuladas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CALCULATE(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[Total Contas],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USERELATIONSHIP(Calendario[Date], contas[DataAbertura_Dia]),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FILTER(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ALL(Calendario),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Calendario[Date] &lt;= MAX(Calendario[Date])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soma acumulada de contas abertas até cada ponto no tempo. Usa a tabela Calendario (seção 4) como eixo de tempo, ativando pontualmente a relação Calendario↔contas (normalmente inativa) via USERELATIONSHIP, para evitar o caminho ambíguo Calendario→transacoes→contas. No gráfico "Contas acumuladas: Física vs Digital", o eixo X usa Calendario[Ano] (granularidade anual, mais legível para uma série de 12 anos) e a Legenda usa agências[tipo_agencia] (ver seção 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6.7 Volume de transações via Pix</w:t>
      </w:r>
    </w:p>
    <w:p w:rsidR="00000000" w:rsidDel="00000000" w:rsidP="00000000" w:rsidRDefault="00000000" w:rsidRPr="00000000" w14:paraId="00000050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Total Transacoes Pix =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CALCULATE(COUNTROWS(transacoes), CONTAINSSTRING(transacoes[nome_transacao], "Pix"))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 de negócio: soma todas as transações cujo nome_transacao contém "Pix" (inclui "Pix - Realizado", "Pix - Recebido", "Pix Saque"). A primeira ocorrência na base é novembro/2020, coincidindo com o lançamento real do Pix no Brasil — validando a consistência temporal do dataset. A série mensal está sujeita à mesma anomalia de dezembro/2022 descrita na seção 5, e o gráfico correspondente aplica o mesmo filtro de exclusão (dez/2022 e jan/2023).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6.8 Funil de propostas de crédito por status</w:t>
      </w:r>
    </w:p>
    <w:p w:rsidR="00000000" w:rsidDel="00000000" w:rsidP="00000000" w:rsidRDefault="00000000" w:rsidRPr="00000000" w14:paraId="00000053">
      <w:pPr>
        <w:shd w:fill="f2f2f2" w:val="clear"/>
        <w:spacing w:after="200" w:before="10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Total Propostas = COUNTROWS(propostas_credito)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Segmentado por status_proposta (Enviada, Em análise, Validação documentos, Aprovada).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Ressalva: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distribuição observada é quase uniforme entre as quatro etapas (23% a 26% cada), o que não corresponde ao padrão esperado de um funil real (que normalmente afunila progressivamente). Recomenda-se validar com a área de negócio se essa distribuição reflete o processo operacional real antes de tratá-la como indicador de eficiência de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Limitações gerais da base de dados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Anomalia de concentração de dados em dezembro/2022 (seção 5) — causa raiz não determinada com certeza; hipóteses incluem geração sintética concentrada no período mais recente, duplicação de registros ou erro de atribuição de data em 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Dados de 2023 truncados (apenas os primeiros dias de janeiro) — não representativos de queda de atividade; excluídos dos gráficos de série mensal (seção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Distribuição uniforme do funil de propostas — possível artefato de geração de dados, pendente de validação com a área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de transações por cliente relativamente baixo frente ao esperado em operação bancária real — consistente com a natureza didática/sintética do dataset, não comparável diretamente a benchmarks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Verificação pendente na medida Transações por Cliente/Mês quanto à propagação de filtro entre contas e transacoes (seção 6.1)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QHGbV5sgO1Tkd1Gs2LTJHistQ==">CgMxLjA4AHIhMTZOVzFqQm9VQW4tLXh2YkhaOXFJSW9XdkZxNzRPWHZQ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2026-09-09T20:51:32.514Z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