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b/>
          <w:bCs/>
          <w:color w:val="1F4E78"/>
          <w:sz w:val="48"/>
          <w:szCs w:val="48"/>
        </w:rPr>
        <w:t xml:space="preserve">OpEx Intelligence Platform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Comprehensive Product Requirements Document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Agentic Cost Optimization &amp; Value Lever Analysis Engine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7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 Comprehensive (Consolidated)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10,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&amp; Enforcement Layer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Pallav Chaturvedi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consolidates v1.0, v2.0, and v2.1 of the OpEx Intelligence Platform PRD into a single, self-contained, authoritative specification. The latest v2.1 content (enforcement layer and architectural enhancements) supersedes earlier versions where conflicts exist.</w:t>
      </w:r>
    </w:p>
    <w:p>
      <w:pPr>
        <w:pStyle w:val="Heading2"/>
      </w:pPr>
      <w:r>
        <w:t xml:space="preserve">What This Platform Is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 12-week cost diagnostic asset deployed inside a client enterprise by an advisory team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An agentic analytical engine combining data-driven benchmarking, heuristic analysis, and AI-powered cost optimization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Built natively for India context: INR currencies, GST mechanics, Ind AS compliance, CMIE/CRISIL benchmarks, regulatory frameworks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Enforces data security, classification, and audit requirements at the platform level, not as policy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Targets Indian enterprises (₹2k--50k+ Cr revenue) seeking systematic OpEx optimization</w:t>
      </w:r>
    </w:p>
    <w:p>
      <w:pPr>
        <w:pStyle w:val="Heading2"/>
      </w:pPr>
      <w:r>
        <w:t xml:space="preserve">What It Delivers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Diagnosed cost base: spend segmented into addressable, semi-addressable, and locked, with peer-position ranking for every material cost pool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Prioritized initiative portfolio: typically 30--80 initiatives with owner, savings range (low/mid/high), cost-to-achieve, payback period, EBITDA basis points, and confidence bands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Board-ready narrative: one-page CFO brief, 15-slide governance deck, and live cost room (Excel dashboard) auditable by the board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PMO &amp; Monthly Operating Review (MOR) cadence: initiative tracker with audit-grade traceability from each ₹ of committed savings to source data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Tear-down protocol: complete data exfiltration, encryption, return, or destruction per agreed schedule with third-party verification</w:t>
      </w:r>
    </w:p>
    <w:p>
      <w:pPr>
        <w:pStyle w:val="Heading2"/>
      </w:pPr>
      <w:r>
        <w:t xml:space="preserve">Why It\u2019s Different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Indian-context-native. </w:t>
      </w:r>
      <w:r>
        <w:t xml:space="preserve">Built around INR, GST mechanics, Ind AS, BRSR, CMIE/CRISIL benchmarks, RBI/SEBI/IRDAI rules, and sector pack architectures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Sector-pack architecture. </w:t>
      </w:r>
      <w:r>
        <w:t xml:space="preserve">Same engine, plug-in sector modules. Deploy at HDFC, Tata Steel, Infosys, Sun Pharma with correct taxonomy within Day 1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Built for client trust. </w:t>
      </w:r>
      <w:r>
        <w:t xml:space="preserve">Default deployment inside client\u2019s VPC/on-prem; data never leaves client perimeter; LLM calls routed to regional models; tear-down contractual and verified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Enforcement-first architecture. </w:t>
      </w:r>
      <w:r>
        <w:t xml:space="preserve">Every number and assumption is traceable, challengeable, subject to continuous quality gates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Built for the C-suite. </w:t>
      </w:r>
      <w:r>
        <w:t xml:space="preserve">Every number traces upward to board narrative; every assumption named, ranged, challenged, calibrated</w:t>
      </w:r>
    </w:p>
    <w:p>
      <w:r>
        <w:br w:type="page"/>
      </w:r>
    </w:p>
    <w:p>
      <w:pPr>
        <w:pStyle w:val="Heading1"/>
      </w:pPr>
      <w:r>
        <w:t xml:space="preserve">Problem Statement &amp; Context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t xml:space="preserve">Enterprises spend millions annually on operating expenditures across dozens of categories—from IT infrastructure and professional services to facilities, travel, and marketing. Despite this scale, most organizations lack a systematic, data-driven method to identify where they overspend relative to peers, internal benchmarks, or outcomes-per-dollar norms established by leading consulting firms.</w:t>
      </w:r>
    </w:p>
    <w:p>
      <w:pPr>
        <w:spacing w:after="200"/>
      </w:pPr>
      <w:r>
        <w:t xml:space="preserve">Today, procurement and finance teams manually compile spreadsheets, request one-off consulting engagements, and rely on tribal knowledge to estimate savings potential. This process is slow (weeks to months per cycle), expensive (consulting retainers of ₹1.5Cr--₹15Cr+), and inconsistent (different analysts apply different heuristics). For consulting firms, rebuilding analytical scaffolding from scratch per engagement is the norm.</w:t>
      </w:r>
    </w:p>
    <w:p>
      <w:pPr>
        <w:spacing w:after="200"/>
      </w:pPr>
      <w:r>
        <w:t xml:space="preserve">Cost efficiency remains a C-suite priority: leading organizations pursue 20--50% efficiency gains through cost optimization and AI-powered approaches. Without a unified platform, enterprises either miss savings opportunities entirely or pay premium rates for analyses that could be substantially automated.</w:t>
      </w:r>
    </w:p>
    <w:p>
      <w:pPr>
        <w:pStyle w:val="Heading2"/>
      </w:pPr>
      <w:r>
        <w:t xml:space="preserve">Who Experiences This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Procurement Officer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benchmark spend vs. peers or industry norms systematically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/ Annually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Business Partner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Manually builds variance analyses in Excel; no standardized value-lever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Management Consultant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Rebuilds opex frameworks from scratch per engagement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Engagement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CFO / COO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Lacks single view of savings across all spend 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Cycles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Platform Design &amp; Scope</w:t>
      </w:r>
    </w:p>
    <w:p>
      <w:pPr>
        <w:pStyle w:val="Heading2"/>
      </w:pPr>
      <w:r>
        <w:t xml:space="preserve">Engagement Model</w:t>
      </w:r>
    </w:p>
    <w:p>
      <w:pPr>
        <w:spacing w:after="200"/>
      </w:pPr>
      <w:r>
        <w:t xml:space="preserve">OpEx Intelligence Platform is deployed as a 12-week cost diagnostic engagement. An advisory team manages the engagement; the platform runs inside the client\u2019s infrastructure (VPC/on-prem); all client data remains on-premises; and engagement data is destroyed at tear-down per contractual terms.</w:t>
      </w:r>
    </w:p>
    <w:p>
      <w:pPr>
        <w:pStyle w:val="Heading2"/>
      </w:pPr>
      <w:r>
        <w:t xml:space="preserve">Goals</w:t>
      </w:r>
    </w:p>
    <w:p>
      <w:pPr>
        <w:spacing w:after="160"/>
      </w:pPr>
      <w:r>
        <w:rPr>
          <w:b/>
          <w:bCs/>
        </w:rPr>
        <w:t xml:space="preserve">User Goals: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 analysis cycle time from weeks/months to hours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Democratize consulting-grade benchmarking frameworks without ₹1Cr+ consulting engagements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Build institutional memory so subsequent analyses are faster and contextualized</w:t>
      </w:r>
    </w:p>
    <w:p>
      <w:pPr>
        <w:spacing w:after="160"/>
      </w:pPr>
      <w:r>
        <w:rPr>
          <w:b/>
          <w:bCs/>
        </w:rPr>
        <w:t xml:space="preserve">Business Goals: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Surface 8--15% of addressable spend as validated savings opportunities within 12 weeks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reusable analytical asset reducing marginal cost of each analysis toward zero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Enable advisory teams to deliver faster, more data-driven recommendations, increasing win rates on cost-transformation proposals</w:t>
      </w:r>
    </w:p>
    <w:p>
      <w:r>
        <w:br w:type="page"/>
      </w:r>
    </w:p>
    <w:p>
      <w:pPr>
        <w:pStyle w:val="Heading1"/>
      </w:pPr>
      <w:r>
        <w:t xml:space="preserve">Security, Data Sovereignty &amp; Enforcement Architecture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Client data never leaves client perimeter. </w:t>
      </w:r>
      <w:r>
        <w:t xml:space="preserve">Default: client\u2019s own cloud tenancy (AWS/Azure/GCP India) or on-prem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Engagement data is short-lived. </w:t>
      </w:r>
      <w:r>
        <w:t xml:space="preserve">All client data destroyed at tear-down; only anonymised aggregates retained with explicit consent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Classification is an invariant, not a label. </w:t>
      </w:r>
      <w:r>
        <w:t xml:space="preserve">B4 status (personally identifiable information) is re-validated continuously on every transformation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LLM calls transmit B2-only context. </w:t>
      </w:r>
      <w:r>
        <w:t xml:space="preserve">B3 (confidential) is tokenized; B4 (sensitive) never accessed. Three data-flow modes (M1/M2/M3); M1 default for sensitive sectors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Audit trail by default. </w:t>
      </w:r>
      <w:r>
        <w:t xml:space="preserve">Every data access, skill invocation, export logged to immutable audit log, controlled by client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Enforcement machinery for all. </w:t>
      </w:r>
      <w:r>
        <w:t xml:space="preserve">Technical controls described below per enforcement finding</w:t>
      </w:r>
    </w:p>
    <w:p>
      <w:pPr>
        <w:pStyle w:val="Heading2"/>
      </w:pPr>
      <w:r>
        <w:t xml:space="preserve">Data Classification Framework</w:t>
      </w:r>
    </w:p>
    <w:p>
      <w:pPr>
        <w:spacing w:after="200"/>
      </w:pPr>
      <w:r>
        <w:t xml:space="preserve">Data is classified into four sensitivity levels. Classification is continuous, not one-time.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925"/>
        <w:gridCol w:w="5265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B1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Aggregates, benchmarks, peer comparisons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Client-Restricted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Aggregated spend, category totals. Can be shared with broader client teams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B3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Confidential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names, contract terms, low-count aggregates. Restricted to CFO/Controller/engagement team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B4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Restricted PII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names, identification numbers, health/biometric data. Never exposed via LLM calls</w:t>
            </w:r>
          </w:p>
        </w:tc>
      </w:tr>
    </w:tbl>
    <w:p/>
    <w:p>
      <w:pPr>
        <w:pStyle w:val="Heading2"/>
      </w:pPr>
      <w:r>
        <w:t xml:space="preserve">Enforcement Requirements</w:t>
      </w:r>
    </w:p>
    <w:p>
      <w:pPr>
        <w:spacing w:after="200"/>
      </w:pPr>
      <w:r>
        <w:rPr>
          <w:b/>
          <w:bCs/>
        </w:rPr>
        <w:t xml:space="preserve">Finding #1: Continuous PII Re-Classification
</w:t>
      </w:r>
      <w:r>
        <w:t xml:space="preserve">B4 stripper applies Presidio + spaCy at ingestion, but NER recall on Indian names is 85--94%, not &gt;99%. PII leaks through free-text, OCR, vendor names, GL narrations.
</w:t>
      </w:r>
      <w:r>
        <w:rPr>
          <w:b/>
          <w:bCs/>
        </w:rPr>
        <w:t xml:space="preserve">Enforcement: </w:t>
      </w:r>
      <w:r>
        <w:t xml:space="preserve">Every derived field is re-scanned at derivation time. Stripper treated as probabilistic detector (target recall: 99.2%). Suspected B4 blocks promotion until human confirmation. LLM never sees a cell unless re-validated in current run.</w:t>
      </w:r>
    </w:p>
    <w:p>
      <w:pPr>
        <w:spacing w:after="200"/>
      </w:pPr>
      <w:r>
        <w:rPr>
          <w:b/>
          <w:bCs/>
        </w:rPr>
        <w:t xml:space="preserve">Finding #2: Classification Provenance on Aggregates
</w:t>
      </w:r>
      <w:r>
        <w:t xml:space="preserve">A B2 \u201ccategory total\u201d computed from B3 transactions inherits no provenance. \u201c85% of branch rent variance concentrated in 3 metros\u201d is B3 derived from B2 output. Re-identification trivial.
</w:t>
      </w:r>
      <w:r>
        <w:rPr>
          <w:b/>
          <w:bCs/>
        </w:rPr>
        <w:t xml:space="preserve">Enforcement: </w:t>
      </w:r>
      <w:r>
        <w:t xml:space="preserve">K-anonymity / l-diversity gates on aggregates: any aggregate with N&lt;5 underlying entities automatically B3, not B2. Inference-risk score per chart; charts with score&lt;50 are B3-tagged. Hard rule: N&lt;5 is always B3.</w:t>
      </w:r>
    </w:p>
    <w:p>
      <w:pPr>
        <w:spacing w:after="200"/>
      </w:pPr>
      <w:r>
        <w:rPr>
          <w:b/>
          <w:bCs/>
        </w:rPr>
        <w:t xml:space="preserve">Finding #3: Determinism-Mode Quality Degradation
</w:t>
      </w:r>
      <w:r>
        <w:t xml:space="preserve">M1 (determinism-only, no model) is default for BFSI/healthcare. Peer-disclosure-miner captures ~20--30% of signal; root-cause-analyzer uses hard-coded heuristics. Asset\u2019s value prop implicitly assumes model.
</w:t>
      </w:r>
      <w:r>
        <w:rPr>
          <w:b/>
          <w:bCs/>
        </w:rPr>
        <w:t xml:space="preserve">Enforcement: </w:t>
      </w:r>
      <w:r>
        <w:t xml:space="preserve">Per-skill capability matrix (M1/M2/M3), regression-tested quality degradation. Surface \u201cdegraded output\u201d in cost room. M1 requires CFO sign-off for BFSI.</w:t>
      </w:r>
    </w:p>
    <w:p>
      <w:pPr>
        <w:spacing w:after="200"/>
      </w:pPr>
      <w:r>
        <w:rPr>
          <w:b/>
          <w:bCs/>
        </w:rPr>
        <w:t xml:space="preserve">Finding #4: Genuine DAG Replanner
</w:t>
      </w:r>
      <w:r>
        <w:t xml:space="preserve">v2.0 PLAN phase respects sector pack rules and engagement weeks; skills run in fixed groups. Week 4 reveals working capital is top opportunity (not opex). DAG has no path to re-route.
</w:t>
      </w:r>
      <w:r>
        <w:rPr>
          <w:b/>
          <w:bCs/>
        </w:rPr>
        <w:t xml:space="preserve">Enforcement: </w:t>
      </w:r>
      <w:r>
        <w:t xml:space="preserve">Genuine PLAN-phase replanner fires at each Reflect gate with objective function: (top-opportunity coverage) + (peer evidence strength) + (engagement-week feasibility). Explicit branches logged.</w:t>
      </w:r>
    </w:p>
    <w:p>
      <w:pPr>
        <w:spacing w:after="200"/>
      </w:pPr>
      <w:r>
        <w:rPr>
          <w:b/>
          <w:bCs/>
        </w:rPr>
        <w:t xml:space="preserve">Finding #5: Assumption-Quality Gate at Reflect
</w:t>
      </w:r>
      <w:r>
        <w:t xml:space="preserve">Reflect validates schema and coherence; confidence is P10/P50/P90. But what does Reflect do with source=\u201cengagement-team estimate, no validation\u201d and range=[₹190, ₹320]Cr?
</w:t>
      </w:r>
      <w:r>
        <w:rPr>
          <w:b/>
          <w:bCs/>
        </w:rPr>
        <w:t xml:space="preserve">Enforcement: </w:t>
      </w:r>
      <w:r>
        <w:t xml:space="preserve">AssumptionQualityScore (0--1) computed from: {source class, validation age (days), owner sign-off, range plausibility}. Gate 2 block rule: any assumption &lt;0.65 blocks initiative promotion unless CFO override.</w:t>
      </w:r>
    </w:p>
    <w:p>
      <w:pPr>
        <w:spacing w:after="200"/>
      </w:pPr>
      <w:r>
        <w:rPr>
          <w:b/>
          <w:bCs/>
        </w:rPr>
        <w:t xml:space="preserve">Finding #6: Calibration Pipeline (Cross-Engagement Learning)
</w:t>
      </w:r>
      <w:r>
        <w:t xml:space="preserve">v2.0 memory is engagement-scoped and destroyed at tear-down. Realised savings vs. committed have no feedback loop to lever-range calibration.
</w:t>
      </w:r>
      <w:r>
        <w:rPr>
          <w:b/>
          <w:bCs/>
        </w:rPr>
        <w:t xml:space="preserve">Enforcement: </w:t>
      </w:r>
      <w:r>
        <w:t xml:space="preserve">T+12m: realised-savings ingestion. T+14m: variance analysis; auto-generate lever-range update proposal. T+16m: senior advisor review + version bump. Future engagements inherit calibrated defaults.</w:t>
      </w:r>
    </w:p>
    <w:p>
      <w:pPr>
        <w:spacing w:after="200"/>
      </w:pPr>
      <w:r>
        <w:rPr>
          <w:b/>
          <w:bCs/>
        </w:rPr>
        <w:t xml:space="preserve">Finding #7: Narrative Provenance &amp; Snapshot Store
</w:t>
      </w:r>
      <w:r>
        <w:t xml:space="preserve">v2.0 traces numbers to source, not narratives. \u201cOpportunity concentrated in branch and tech\u201d — where from? M2 managed LLMs have zero retention; re-running 6 weeks later cannot reproduce narrative.
</w:t>
      </w:r>
      <w:r>
        <w:rPr>
          <w:b/>
          <w:bCs/>
        </w:rPr>
        <w:t xml:space="preserve">Enforcement: </w:t>
      </w:r>
      <w:r>
        <w:t xml:space="preserve">Tag every narrative: [data_slice] [prompt_hash] [model_version] [seed]. Snapshot store (encrypted, client-held) survives tear-down. Re-running with same snapshot produces identical narrative. Audit Committee deliverable includes provenance tags.</w:t>
      </w:r>
    </w:p>
    <w:p>
      <w:pPr>
        <w:spacing w:after="200"/>
      </w:pPr>
      <w:r>
        <w:rPr>
          <w:b/>
          <w:bCs/>
        </w:rPr>
        <w:t xml:space="preserve">Finding #8: Tear-Down Attestation &amp; Artifact Destruction
</w:t>
      </w:r>
      <w:r>
        <w:t xml:space="preserve">v2.0 attests to compute destruction. Real-world sprawl: consultant laptops, Slack/Teams, email PDFs, AWS EBS snapshots outside perimeter.
</w:t>
      </w:r>
      <w:r>
        <w:rPr>
          <w:b/>
          <w:bCs/>
        </w:rPr>
        <w:t xml:space="preserve">Enforcement: </w:t>
      </w:r>
      <w:r>
        <w:t xml:space="preserve">Consultant-side artifact protocol: DLP-style scan, Slack/Mail sweep, tagged deletion. Cloud-provider verification: AWS resource-tag search proving zero residual EBS/RDS/S3. Attestation includes compute + backup + consultant sweep + cloud verification.</w:t>
      </w:r>
    </w:p>
    <w:p>
      <w:pPr>
        <w:spacing w:after="200"/>
      </w:pPr>
      <w:r>
        <w:rPr>
          <w:b/>
          <w:bCs/>
        </w:rPr>
        <w:t xml:space="preserve">Finding #9: Regulatory-Event Watcher
</w:t>
      </w:r>
      <w:r>
        <w:t xml:space="preserve">v2.0 locks pack version at engagement start. Week 5 GST notification, Week 7 CMIE refresh; engagement runs with superseded rules.
</w:t>
      </w:r>
      <w:r>
        <w:rPr>
          <w:b/>
          <w:bCs/>
        </w:rPr>
        <w:t xml:space="preserve">Enforcement: </w:t>
      </w:r>
      <w:r>
        <w:t xml:space="preserve">Real-time regulatory watcher (GST/SEBI/RBI/IRDAI, CMIE, sector-specific events). At each Reflect gate, surface material in-engagement changes with forced decision: Accept stale / Refresh pack / Partial refresh. Decision logged; affected initiatives re-baselined.</w:t>
      </w:r>
    </w:p>
    <w:p>
      <w:pPr>
        <w:spacing w:after="200"/>
      </w:pPr>
      <w:r>
        <w:rPr>
          <w:b/>
          <w:bCs/>
        </w:rPr>
        <w:t xml:space="preserve">Finding #10: Pool-Scoped RBAC &amp; Role Escalation
</w:t>
      </w:r>
      <w:r>
        <w:t xml:space="preserve">v2.0 defines 4 roles. Functional Owners (CHRO, CIO) need pool-scoped access, not global read/write. CFO drilling from board chart to B3 vendor list implies escalation unspecified.
</w:t>
      </w:r>
      <w:r>
        <w:rPr>
          <w:b/>
          <w:bCs/>
        </w:rPr>
        <w:t xml:space="preserve">Enforcement: </w:t>
      </w:r>
      <w:r>
        <w:t xml:space="preserve">Pool-scoped functional-owner role: CHRO sees people-cost pool + B3 detail; CFO sees all; procurement lead sees spend only. Separated audit-log from token-map. Escalation flow documented: CFO drill-through = temporary role upgrade, logged, 24h expiry.</w:t>
      </w:r>
    </w:p>
    <w:p>
      <w:pPr>
        <w:spacing w:after="200"/>
      </w:pPr>
      <w:r>
        <w:rPr>
          <w:b/>
          <w:bCs/>
        </w:rPr>
        <w:t xml:space="preserve">Finding #11: Tiered Scale Architecture
</w:t>
      </w:r>
      <w:r>
        <w:t xml:space="preserve">v2.0 SLOs target ≤100k spend lines. Target buyers are ₹15k--50k Cr with 5--20M GL lines. SLOs 2 orders of magnitude too small.
</w:t>
      </w:r>
      <w:r>
        <w:rPr>
          <w:b/>
          <w:bCs/>
        </w:rPr>
        <w:t xml:space="preserve">Enforcement: </w:t>
      </w:r>
      <w:r>
        <w:t xml:space="preserve">Tiered SLOs by client size: Mid-cap (₹2k--15k Cr): 100k lines, &lt;1s ingestion; Large-cap (₹15k--50k Cr): 5M lines, &lt;30s ingestion; Conglomerate (₹50k+ Cr): 20M+ lines, &lt;120s ingestion. Caching: Redis (&lt;500k initiatives), Spark (&gt;5M lines). Performance benchmark every release.</w:t>
      </w:r>
    </w:p>
    <w:p>
      <w:pPr>
        <w:spacing w:after="200"/>
      </w:pPr>
      <w:r>
        <w:rPr>
          <w:b/>
          <w:bCs/>
        </w:rPr>
        <w:t xml:space="preserve">Finding #12: Per-Skill, Per-Mode Quality Matrix
</w:t>
      </w:r>
      <w:r>
        <w:t xml:space="preserve">v2.0 targets \u201cCFO satisfaction ≥4.5/5\u201d but never specifies M1 vs. M2 vs. M3 quality.
</w:t>
      </w:r>
      <w:r>
        <w:rPr>
          <w:b/>
          <w:bCs/>
        </w:rPr>
        <w:t xml:space="preserve">Enforcement: </w:t>
      </w:r>
      <w:r>
        <w:t xml:space="preserve">Example capability matrix: peer-disclosure-miner (M1=25% signal, M2=85%, M3=50%), root-cause-analyzer (M1=60%, M2=95%, M3=70%), executive-communication (N/A, M2=4.7/5, M3=3.2/5). Regression tests every release; block M1 default for BFSI unless CFO sign-off.</w:t>
      </w:r>
    </w:p>
    <w:p>
      <w:r>
        <w:br w:type="page"/>
      </w:r>
    </w:p>
    <w:p>
      <w:pPr>
        <w:pStyle w:val="Heading1"/>
      </w:pPr>
      <w:r>
        <w:t xml:space="preserve">Value Lever Framework</w:t>
      </w:r>
    </w:p>
    <w:p>
      <w:pPr>
        <w:spacing w:after="200"/>
      </w:pPr>
      <w:r>
        <w:t xml:space="preserve">The platform applies four primary value levers to each spend category, drawing from established consulting methodologies. For each spend category C and lever L:</w:t>
      </w:r>
    </w:p>
    <w:p>
      <w:pPr>
        <w:spacing w:after="200"/>
        <w:jc w:val="center"/>
      </w:pPr>
      <w:r>
        <w:rPr>
          <w:i/>
          <w:iCs/>
        </w:rPr>
        <w:t xml:space="preserve">Savings(C, L) = Addressable Spend(C) × Savings Rate(L, C) × Confidence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574"/>
        <w:gridCol w:w="1575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Savings Range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Benchmarking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category spend vs. industry percentile distributions. Savings = gap between current and target percentile.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McKinsey Global Ops Benchmark; BCG Cost Advantage Database</w:t>
            </w:r>
          </w:p>
        </w:tc>
        <w:tc>
          <w:tcPr>
            <w:tcW w:type="dxa" w:w="1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5--20%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Benchmarking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lowest-cost BU/geography per category. Savings = gap to internal best practice.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Deloitte Ops Strategy; McKinsey Org Health Index</w:t>
            </w:r>
          </w:p>
        </w:tc>
        <w:tc>
          <w:tcPr>
            <w:tcW w:type="dxa" w:w="1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3--15%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 Comparison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outcomes-per-dollar norms: cost-per-employee, cost-as-%-of-revenue. Compare vs. reference ranges.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BCG Value Creation; Deloitte Cost Excellence</w:t>
            </w:r>
          </w:p>
        </w:tc>
        <w:tc>
          <w:tcPr>
            <w:tcW w:type="dxa" w:w="1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5--25%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/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 savings from GenAI-assisted workflows: procurement automation, contact center AI, predictive maintenance.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BCG Executive Perspectives (2025): 20--50% efficiency gains</w:t>
            </w:r>
          </w:p>
        </w:tc>
        <w:tc>
          <w:tcPr>
            <w:tcW w:type="dxa" w:w="1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20--50%</w:t>
            </w:r>
          </w:p>
        </w:tc>
      </w:tr>
    </w:tbl>
    <w:p/>
    <w:p>
      <w:pPr>
        <w:pStyle w:val="Heading2"/>
      </w:pPr>
      <w:r>
        <w:t xml:space="preserve">Calculation Method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Addressable Spend(C): </w:t>
      </w:r>
      <w:r>
        <w:t xml:space="preserve">Total spend in category C minus non-addressable items (contractually locked, regulatory, etc.)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Savings Rate(L, C): </w:t>
      </w:r>
      <w:r>
        <w:t xml:space="preserve">Derived from lever-specific methodology (percentile gap, internal gap, heuristic gap, or AI adoption curve)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Confidence Factor: </w:t>
      </w:r>
      <w:r>
        <w:t xml:space="preserve">Low (0.5), Mid (0.75), High (0.9) based on data quality, benchmark relevance, lever maturity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De-duplication: </w:t>
      </w:r>
      <w:r>
        <w:t xml:space="preserve">Factor of 0.6--0.8 applied to avoid double-counting where levers overlap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Overview</w:t>
      </w:r>
    </w:p>
    <w:p>
      <w:pPr>
        <w:spacing w:after="200"/>
      </w:pPr>
      <w:r>
        <w:t xml:space="preserve">OpEx Intelligence Platform is a three-tier web application built on the Claude Agent SDK with a skills-based architecture, Mem0 memory layer (optional for v1), and a React-based chat or command-line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TS, Tailwind, Chart.js / CLI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/ command interface, file upload, dashboard rendering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FastAPI + Claude 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Agentic loop, skill routing, file processing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Opus 4.6 / Sonnet 4.6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Reasoning, analysis, skill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S3-compatible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results, uploaded files, skill artifacts</w:t>
            </w:r>
          </w:p>
        </w:tc>
      </w:tr>
    </w:tbl>
    <w:p/>
    <w:p>
      <w:pPr>
        <w:pStyle w:val="Heading2"/>
      </w:pPr>
      <w:r>
        <w:t xml:space="preserve">Agentic Loop Architecture</w:t>
      </w:r>
    </w:p>
    <w:p>
      <w:pPr>
        <w:spacing w:after="200"/>
      </w:pPr>
      <w:r>
        <w:t xml:space="preserve">The core analysis workflow follows the Claude agentic loop pattern: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Message Intake: Chat frontend sends message (text + file references) to FastAPI orchestrator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Skill Selection: Based on intent, orchestrator selects appropriate skill(s)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Claude Execution: Claude Sonnet/Opus processes request with loaded skills, executing code (parsing, calculations, charts) and producing structured outputs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Memory Update: Key facts and results stored for future retrieval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Response Delivery: Results (text, tables, charts, files) streamed back to frontend</w:t>
      </w:r>
    </w:p>
    <w:p>
      <w:pPr>
        <w:pStyle w:val="Heading2"/>
      </w:pPr>
      <w:r>
        <w:t xml:space="preserve">Skills Architecture</w:t>
      </w:r>
    </w:p>
    <w:p>
      <w:pPr>
        <w:spacing w:after="200"/>
      </w:pPr>
      <w:r>
        <w:t xml:space="preserve">Each skill is a self-contained folder with: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SKILL.md: </w:t>
      </w:r>
      <w:r>
        <w:t xml:space="preserve">Prompt template with YAML frontmatter (name, description) and instructions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reference-data/: </w:t>
      </w:r>
      <w:r>
        <w:t xml:space="preserve">Static data files (industry benchmarks, taxonomy mappings,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scripts/: </w:t>
      </w:r>
      <w:r>
        <w:t xml:space="preserve">Python scripts for computation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config.json: </w:t>
      </w:r>
      <w:r>
        <w:t xml:space="preserve">Skill parameters and defaults</w:t>
      </w:r>
    </w:p>
    <w:p>
      <w:pPr>
        <w:pStyle w:val="Heading3"/>
      </w:pPr>
      <w:r>
        <w:t xml:space="preserve">Core Skills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227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Lever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spend-profiler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Excel/CSV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Categorized summary, time-series trends, top suppliers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peer-benchmarker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Spend + 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Percentile rankings, gap-to-median estimates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Benchmarking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internal-benchmarker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Spend by BU/geo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Comparison matrix, variance highlights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Benchmarking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heuristic-analyzer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Spend +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Outcomes-per-dollar ratios vs. benchmarks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 Comparison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value-bridge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skill outputs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matrix: savings by category × lever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business-case-builder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doc: exec summary, financials, timeline, risks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Case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200"/>
      </w:pPr>
      <w:r>
        <w:t xml:space="preserve">All enforcement requirements are regression-tested and block deployment if unmet. Sequencing prioritizes risk + deployment timeline: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Phase 1 (Weeks 1--4): </w:t>
      </w:r>
      <w:r>
        <w:t xml:space="preserve">PII stripper + continuous classification, tiered scale architecture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Phase 2 (Weeks 5--8): </w:t>
      </w:r>
      <w:r>
        <w:t xml:space="preserve">Assumption-quality enforcement, pool-scoped RBAC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Phase 3 (Weeks 9--12): </w:t>
      </w:r>
      <w:r>
        <w:t xml:space="preserve">OPAR replanner, narrative provenance, capability matrix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Phase 4 (Weeks 13--16): </w:t>
      </w:r>
      <w:r>
        <w:t xml:space="preserve">Regulatory watcher, role escalation audit, performance benchmarking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Phase 5 (Weeks 17+): </w:t>
      </w:r>
      <w:r>
        <w:t xml:space="preserve">Artifact protocol, calibration pipeline, cross-engagement learning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Leading Indicators (Week 1--4)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3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first value output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hours from data upload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Timestamp: file upload to value-bridge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classification accuracy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85% without correction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vs. user-confirmed mappings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execution success rate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95%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validation + spot-check audit</w:t>
            </w:r>
          </w:p>
        </w:tc>
      </w:tr>
    </w:tbl>
    <w:p/>
    <w:p>
      <w:pPr>
        <w:pStyle w:val="Heading2"/>
      </w:pPr>
      <w:r>
        <w:t xml:space="preserve">Lagging Indicators (Month 1--6)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3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Identified savings % of addressable spend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8--15% top 10 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Value-bridge outputs aggregated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cases generated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 per active user / 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invocation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CFO satisfaction score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4.5 / 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Post-engagement survey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Standard Spend Category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3510"/>
        <w:gridCol w:w="257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% of OpEx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&amp; 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licenses, cloud, hardware, IT support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15--25%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Consulting, legal, audit, advisory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8--15%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Facilities &amp; Real Estate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Rent, utilities, maintenance, security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10--18%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Travel &amp; Entertainment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travel, meals, events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3--8%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&amp; Advertising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Digital, print, events, brand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5--12%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&amp; Recruitment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Staffing agencies, training, benefits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3--7%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 &amp; Supply Chain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Freight, warehousing, distribution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5--15%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Telecommunications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Voice, data, mobile, conferencing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2--5%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 &amp;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Property, liability, D&amp;O, cyber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2--4%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 Supplies &amp; Equipment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Furniture, supplies, printing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1--3%</w:t>
            </w:r>
          </w:p>
        </w:tc>
      </w:tr>
    </w:tbl>
    <w:p/>
    <w:p>
      <w:pPr>
        <w:pStyle w:val="Heading2"/>
      </w:pPr>
      <w:r>
        <w:t xml:space="preserve">Appendix B: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Opus 4.6 / Sonnet 4.6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Anthropic Messages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Agent SDK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API (skills-2025-10-02 or later)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/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3.11+; async/await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TypeScript /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CSS; Chart.js for viz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v14+; stores sessions, analyses, spend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S3-compatible (MinIO or AWS)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Files, generated documents, artifacts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Kubernetes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Helm charts; horizontal scaling</w:t>
            </w:r>
          </w:p>
        </w:tc>
      </w:tr>
    </w:tbl>
    <w:p/>
    <w:p>
      <w:pPr>
        <w:pStyle w:val="Heading2"/>
      </w:pPr>
      <w:r>
        <w:t xml:space="preserve">Appendix C: Document Change History</w:t>
      </w:r>
    </w:p>
    <w:p>
      <w:pPr>
        <w:spacing w:after="200"/>
      </w:pPr>
      <w:r>
        <w:t xml:space="preserve">This comprehensive document consolidates three versions of the OpEx Intelligence Platform PRD: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v1.0 (February 28, 2026): </w:t>
      </w:r>
      <w:r>
        <w:t xml:space="preserve">Original PRD with problem statement, user stories, requirements, technical architecture, value lever framework, and success metrics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v2.0 (Q1 2026): </w:t>
      </w:r>
      <w:r>
        <w:t xml:space="preserve">Refined engagement model (12-week diagnostic), India-context enhancements, security architecture, sector pack framework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v2.1 (May 10, 2026): </w:t>
      </w:r>
      <w:r>
        <w:t xml:space="preserve">Enforcement layer addressing 12 architectural vulnerabilities, implementation roadmap, continuous enforcement mechanisms</w:t>
      </w:r>
    </w:p>
    <w:p>
      <w:pPr>
        <w:spacing w:after="200"/>
      </w:pPr>
      <w:r>
        <w:t xml:space="preserve">This consolidated document (v2.1 Comprehensive) is standalone and self-contained. In cases of conflict, v2.1 content is authoritative. All references to external versions are removed.</w:t>
      </w:r>
    </w:p>
    <w:p>
      <w:pPr>
        <w:spacing w:after="200"/>
      </w:pPr>
      <w:r>
        <w:rPr>
          <w:i/>
          <w:iCs/>
        </w:rPr>
        <w:t xml:space="preserve">---</w:t>
      </w:r>
    </w:p>
    <w:p>
      <w:pPr>
        <w:spacing w:before="400"/>
        <w:jc w:val="center"/>
      </w:pPr>
      <w:r>
        <w:rPr>
          <w:i/>
          <w:iCs/>
        </w:rPr>
        <w:t xml:space="preserve">End of OpEx Intelligence Platform PRD v2.1 Comprehensive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2026-05-10T14:07:25.085Z</dcterms:created>
  <dcterms:modified xsi:type="dcterms:W3CDTF">2026-05-10T14:07:25.085Z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