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a3a52"/>
          <w:sz w:val="40"/>
          <w:szCs w:val="40"/>
        </w:rPr>
        <w:t xml:space="preserve">OpEx Intelligence Platform</w:t>
      </w:r>
    </w:p>
    <w:p>
      <w:pPr>
        <w:spacing w:after="120"/>
        <w:jc w:val="center"/>
      </w:pPr>
      <w:r>
        <w:rPr>
          <w:b/>
          <w:bCs/>
          <w:color w:val="2E5090"/>
          <w:sz w:val="32"/>
          <w:szCs w:val="32"/>
        </w:rPr>
        <w:t xml:space="preserve">Product Requirements Document v2.1</w:t>
      </w:r>
    </w:p>
    <w:p>
      <w:pPr>
        <w:spacing w:after="360"/>
        <w:jc w:val="center"/>
      </w:pPr>
      <w:r>
        <w:rPr>
          <w:color w:val="555555"/>
          <w:sz w:val="24"/>
          <w:szCs w:val="24"/>
        </w:rPr>
        <w:t xml:space="preserve">Architectural Enforcement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2.1 — v2.0 base + stress-test enforcement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May 10,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— supersedes v2.0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Confidential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EXECUTIVE SUMMARY: v2.0 to v2.1 Upgrade</w:t>
      </w:r>
    </w:p>
    <w:p>
      <w:pPr>
        <w:spacing w:after="120"/>
      </w:pPr>
      <w:r>
        <w:t xml:space="preserve">v2.0 hardened security and engagement scaffolding. v2.1 adds </w:t>
      </w:r>
      <w:r>
        <w:rPr>
          <w:b/>
          <w:bCs/>
        </w:rPr>
        <w:t xml:space="preserve">enforcement machinery</w:t>
      </w:r>
      <w:r>
        <w:t xml:space="preserve"> — converting architectural promises into verifiable, continuous guarantees.</w:t>
      </w:r>
    </w:p>
    <w:p>
      <w:pPr>
        <w:spacing w:after="120"/>
      </w:pPr>
      <w:r>
        <w:t xml:space="preserve">The stress-test assessment identified 12 critical gaps where architecture treated agentic concerns as </w:t>
      </w:r>
      <w:r>
        <w:rPr>
          <w:b/>
          <w:bCs/>
        </w:rPr>
        <w:t xml:space="preserve">policy</w:t>
      </w:r>
      <w:r>
        <w:t xml:space="preserve"> rather than </w:t>
      </w:r>
      <w:r>
        <w:rPr>
          <w:b/>
          <w:bCs/>
        </w:rPr>
        <w:t xml:space="preserve">enforcement</w:t>
      </w:r>
      <w:r>
        <w:t xml:space="preserve">. This upgrade adds:</w:t>
      </w:r>
    </w:p>
    <w:p>
      <w:pPr>
        <w:pStyle w:val="ListParagraph"/>
        <w:numPr>
          <w:ilvl w:val="0"/>
          <w:numId w:val="2"/>
        </w:numPr>
      </w:pPr>
      <w:r>
        <w:t xml:space="preserve">Continuous PII re-classification (not one-time stripper)</w:t>
      </w:r>
    </w:p>
    <w:p>
      <w:pPr>
        <w:pStyle w:val="ListParagraph"/>
        <w:numPr>
          <w:ilvl w:val="0"/>
          <w:numId w:val="2"/>
        </w:numPr>
      </w:pPr>
      <w:r>
        <w:t xml:space="preserve">Genuine DAG replanner (not static workflow)</w:t>
      </w:r>
    </w:p>
    <w:p>
      <w:pPr>
        <w:pStyle w:val="ListParagraph"/>
        <w:numPr>
          <w:ilvl w:val="0"/>
          <w:numId w:val="2"/>
        </w:numPr>
      </w:pPr>
      <w:r>
        <w:t xml:space="preserve">Assumption-quality gates (not just logging)</w:t>
      </w:r>
    </w:p>
    <w:p>
      <w:pPr>
        <w:pStyle w:val="ListParagraph"/>
        <w:numPr>
          <w:ilvl w:val="0"/>
          <w:numId w:val="2"/>
        </w:numPr>
      </w:pPr>
      <w:r>
        <w:t xml:space="preserve">Narrative provenance &amp; reproducibility (not just audit logs)</w:t>
      </w:r>
    </w:p>
    <w:p>
      <w:pPr>
        <w:pStyle w:val="ListParagraph"/>
        <w:numPr>
          <w:ilvl w:val="0"/>
          <w:numId w:val="2"/>
        </w:numPr>
      </w:pPr>
      <w:r>
        <w:t xml:space="preserve">Calibration pipeline from realised savings (not discard at tear-down)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Tiered scale architecture + mode capability matrices (not abstract SLOs)</w:t>
      </w:r>
    </w:p>
    <w:p>
      <w:pPr>
        <w:spacing w:after="240"/>
      </w:pPr>
      <w:r>
        <w:t xml:space="preserve">All requirements below are enforceable, regression-tested, and gated on deployment.</w:t>
      </w:r>
    </w:p>
    <w:p>
      <w:r>
        <w:br w:type="page"/>
      </w:r>
    </w:p>
    <w:p>
      <w:pPr>
        <w:pStyle w:val="Heading1"/>
      </w:pPr>
      <w:r>
        <w:t xml:space="preserve">1. What Changed from v1.8 (v2.0 baseline)</w:t>
      </w:r>
    </w:p>
    <w:p>
      <w:pPr>
        <w:spacing w:after="120"/>
      </w:pPr>
      <w:r>
        <w:t xml:space="preserve">v1.8 specified a platform. v2.0 specified an asset for a 12-week diagnostic engagement. This document (v2.1) builds on that foundation, adding enforcement mechanisms for the 12 architectural vulnerabilities discovered in stress testing.</w:t>
      </w:r>
    </w:p>
    <w:p>
      <w:pPr>
        <w:spacing w:after="120"/>
      </w:pPr>
      <w:r>
        <w:t xml:space="preserve">The v2.0 changes remain in force (buyer, currency, deployment model, security posture, sector packs, engagement structure, outputs, value framing). v2.1 adds the enforcement layer.</w:t>
      </w:r>
    </w:p>
    <w:p>
      <w:pPr>
        <w:spacing w:after="240"/>
      </w:pPr>
      <w:r>
        <w:t xml:space="preserve">See original v2.0 PRD for full baseline context.</w:t>
      </w:r>
    </w:p>
    <w:p>
      <w:pPr>
        <w:pStyle w:val="Heading1"/>
      </w:pPr>
      <w:r>
        <w:t xml:space="preserve">2. Executive Summary</w:t>
      </w:r>
    </w:p>
    <w:p>
      <w:pPr>
        <w:pStyle w:val="Heading2"/>
      </w:pPr>
      <w:r>
        <w:t xml:space="preserve">2.1 What This Is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12-week cost diagnostic asset</w:t>
      </w:r>
      <w:r>
        <w:t xml:space="preserve"> that an advisory team deploys inside a client enterprise to identify, size, and stage 12–24 months of operating expenditure savings.</w:t>
      </w:r>
    </w:p>
    <w:p>
      <w:pPr>
        <w:spacing w:after="240"/>
      </w:pPr>
      <w:r>
        <w:t xml:space="preserve">It combines an agentic analytical engine (v1.8 heritage, enhanced for India and security) with a defined engagement playbook, executive output set, and </w:t>
      </w:r>
      <w:r>
        <w:rPr>
          <w:b/>
          <w:bCs/>
        </w:rPr>
        <w:t xml:space="preserve">architectural enforcement</w:t>
      </w:r>
      <w:r>
        <w:t xml:space="preserve"> that satisfies Indian enterprise IT and audit committee requirements.</w:t>
      </w:r>
    </w:p>
    <w:p>
      <w:pPr>
        <w:pStyle w:val="Heading2"/>
      </w:pPr>
      <w:r>
        <w:t xml:space="preserve">2.2 What It Delivers</w:t>
      </w:r>
    </w:p>
    <w:p>
      <w:pPr>
        <w:spacing w:after="80"/>
      </w:pPr>
      <w:r>
        <w:t xml:space="preserve">By Week 12 the client has: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Diagnosed cost base</w:t>
      </w:r>
      <w:r>
        <w:t xml:space="preserve"> segmented into addressable, semi-addressable, and locked, with peer-position for every material pool.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Prioritised initiative portfolio</w:t>
      </w:r>
      <w:r>
        <w:t xml:space="preserve"> of typically 30–80 initiatives, each with owner, gross/net savings range, cost-to-achieve, payback, EBITDA bps, and P10/P50/P90 range.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Board-ready narrative</w:t>
      </w:r>
      <w:r>
        <w:t xml:space="preserve"> — one-page CFO brief, 15-slide board deck, and live cost room the CFO can run in front of the Audit Committee.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PMO and MOR cadence</w:t>
      </w:r>
      <w:r>
        <w:t xml:space="preserve"> — initiative tracker, monthly operating review pack template, audit-grade traceability from each ₹ of committed savings back to source data.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Tear-down protocol</w:t>
      </w:r>
      <w:r>
        <w:t xml:space="preserve"> — all client data exfiltrated, encrypted, returned or destroyed per agreed schedule, with verification and attestation.</w:t>
      </w:r>
    </w:p>
    <w:p>
      <w:pPr>
        <w:pStyle w:val="Heading2"/>
      </w:pPr>
      <w:r>
        <w:t xml:space="preserve">2.3 Why It's Different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Indian-context-native.</w:t>
      </w:r>
      <w:r>
        <w:t xml:space="preserve"> Built around INR, GST mechanics, Ind AS, BRSR, CMIE/CRISIL benchmarks, RBI/SEBI/IRDAI rules.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Sector-pack architecture.</w:t>
      </w:r>
      <w:r>
        <w:t xml:space="preserve"> Same engine, plug-in sector modules. Deploy at HDFC, Tata Steel, Infosys, Sun Pharma with the right taxonomy within Day 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Built for client trust.</w:t>
      </w:r>
      <w:r>
        <w:t xml:space="preserve"> Default deployment is inside client's own VPC/on-prem; data never leaves client perimeter; LLM calls routed to regional models; tear-down is contractual and verified.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Enforcement-first.</w:t>
      </w:r>
      <w:r>
        <w:t xml:space="preserve"> Every number and assumption is traceable, challengeable, and subject to continuous quality gates.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Built for the C-suite, not the analyst.</w:t>
      </w:r>
      <w:r>
        <w:t xml:space="preserve"> Every number traces upward to board narrative; every assumption is named, ranged, challenged, and calibrated.</w:t>
      </w:r>
    </w:p>
    <w:p>
      <w:r>
        <w:br w:type="page"/>
      </w:r>
    </w:p>
    <w:p>
      <w:pPr>
        <w:pStyle w:val="Heading1"/>
      </w:pPr>
      <w:r>
        <w:t xml:space="preserve">3. Security, Data Sovereignty &amp; Enforcement Architecture</w:t>
      </w:r>
    </w:p>
    <w:p>
      <w:pPr>
        <w:spacing w:after="120"/>
      </w:pPr>
      <w:r>
        <w:t xml:space="preserve">This section integrates v2.0's security architecture with v2.1's enforcement requirements. Data security is the first question; enforcement is how we guarantee compliance, not just claim it.</w:t>
      </w:r>
    </w:p>
    <w:p>
      <w:pPr>
        <w:pStyle w:val="Heading2"/>
      </w:pPr>
      <w:r>
        <w:t xml:space="preserve">3.1 Design Principles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Client data never leaves client perimeter.</w:t>
      </w:r>
      <w:r>
        <w:t xml:space="preserve"> Default: client's own cloud tenancy (AWS/Azure/GCP India) or on-prem.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Engagement data is short-lived.</w:t>
      </w:r>
      <w:r>
        <w:t xml:space="preserve"> All client data destroyed at tear-down; only anonymised aggregates retained, with explicit consent.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Classification is an invariant, not a label.</w:t>
      </w:r>
      <w:r>
        <w:t xml:space="preserve"> B4 status is re-validated continuously on every transformation, not assumed from ingestion.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LLM calls transmit B2-only context.</w:t>
      </w:r>
      <w:r>
        <w:t xml:space="preserve"> B3 is tokenised; B4 is never accessed. Three data-flow modes (M1/M2/M3); M1 default for sensitive sectors.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 trail by default.</w:t>
      </w:r>
      <w:r>
        <w:t xml:space="preserve"> Every data access, skill invocation, export is logged to immutable audit log, controlled by client.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Enforcement machinery for all of the above.</w:t>
      </w:r>
      <w:r>
        <w:t xml:space="preserve"> Specific technical controls described below per Finding #1–#10.</w:t>
      </w:r>
    </w:p>
    <w:p>
      <w:pPr>
        <w:pStyle w:val="Heading2"/>
      </w:pPr>
      <w:r>
        <w:t xml:space="preserve">3.2 Finding #1: PII Stripper — Continuous Re-Classification (Enforcement)</w:t>
      </w:r>
    </w:p>
    <w:p>
      <w:pPr>
        <w:spacing w:after="80"/>
      </w:pPr>
      <w:r>
        <w:rPr>
          <w:b/>
          <w:bCs/>
        </w:rPr>
        <w:t xml:space="preserve">The Problem:</w:t>
      </w:r>
    </w:p>
    <w:p>
      <w:pPr>
        <w:spacing w:after="120"/>
      </w:pPr>
      <w:r>
        <w:t xml:space="preserve">v2.0 assumed Presidio + spaCy strip B4 at ingestion and the pipeline is then PII-free. In reality: (a) NER recall on Indian names is 85–94%, not &gt;99%; (b) PII leaks through free-text, OCR, vendor names, GL narrations; (c) post-ingestion B4 has no rerun semantics.</w:t>
      </w:r>
    </w:p>
    <w:p>
      <w:pPr>
        <w:spacing w:after="80"/>
      </w:pPr>
      <w:r>
        <w:rPr>
          <w:b/>
          <w:bCs/>
        </w:rPr>
        <w:t xml:space="preserve">v2.1 Enforcement: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Continuous re-classification on transformation.</w:t>
      </w:r>
      <w:r>
        <w:t xml:space="preserve"> Every derived field (sums, joins, ML outputs) is re-scanned at derivation time. Stripper is treated as a probabilistic detector (target recall: 99.2%).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Quarantine state for suspected B4.</w:t>
      </w:r>
      <w:r>
        <w:t xml:space="preserve"> Any cell flagged as high-confidence B4 blocks promotion until human confirmation.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Per-cell re-validation before narrative generation.</w:t>
      </w:r>
      <w:r>
        <w:t xml:space="preserve"> LLM never sees a cell unless it has passed re-validation in the current run.</w:t>
      </w:r>
    </w:p>
    <w:p>
      <w:pPr>
        <w:pStyle w:val="Heading2"/>
      </w:pPr>
      <w:r>
        <w:t xml:space="preserve">3.3 Finding #2: Classification Provenance on Aggregates (Enforcement)</w:t>
      </w:r>
    </w:p>
    <w:p>
      <w:pPr>
        <w:spacing w:after="80"/>
      </w:pPr>
      <w:r>
        <w:rPr>
          <w:b/>
          <w:bCs/>
        </w:rPr>
        <w:t xml:space="preserve">The Problem:</w:t>
      </w:r>
    </w:p>
    <w:p>
      <w:pPr>
        <w:spacing w:after="120"/>
      </w:pPr>
      <w:r>
        <w:t xml:space="preserve">A B2 "category total" computed from B3 transactions inherits no provenance. "85% of branch rent variance concentrated in 3 metros" is a B3 disclosure derived from B2 output. Re-identification is trivial.</w:t>
      </w:r>
    </w:p>
    <w:p>
      <w:pPr>
        <w:spacing w:after="80"/>
      </w:pPr>
      <w:r>
        <w:rPr>
          <w:b/>
          <w:bCs/>
        </w:rPr>
        <w:t xml:space="preserve">v2.1 Enforcement: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K-anonymity / l-diversity gates on aggregates.</w:t>
      </w:r>
      <w:r>
        <w:t xml:space="preserve"> Any aggregate with N&lt;5 underlying entities is automatically B3, not B2.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Inference-risk score per chart.</w:t>
      </w:r>
      <w:r>
        <w:t xml:space="preserve"> Measure re-identification difficulty; charts with score&lt;50 are B3-tagged.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Hard rule: N&lt;5 is always B3.</w:t>
      </w:r>
      <w:r>
        <w:t xml:space="preserve"> Even if source is B2, aggregate is B3.</w:t>
      </w:r>
    </w:p>
    <w:p>
      <w:pPr>
        <w:pStyle w:val="Heading2"/>
      </w:pPr>
      <w:r>
        <w:t xml:space="preserve">3.4 Finding #7: Narrative Provenance &amp; Snapshot Store (Enforcement)</w:t>
      </w:r>
    </w:p>
    <w:p>
      <w:pPr>
        <w:spacing w:after="80"/>
      </w:pPr>
      <w:r>
        <w:rPr>
          <w:b/>
          <w:bCs/>
        </w:rPr>
        <w:t xml:space="preserve">The Problem:</w:t>
      </w:r>
    </w:p>
    <w:p>
      <w:pPr>
        <w:spacing w:after="120"/>
      </w:pPr>
      <w:r>
        <w:t xml:space="preserve">v2.0 traces numbers to source, not narratives. "Opportunity concentrated in branch and tech" — where from? What threshold? M2 managed LLMs have zero retention; re-running 6 weeks later cannot reproduce the narrative.</w:t>
      </w:r>
    </w:p>
    <w:p>
      <w:pPr>
        <w:spacing w:after="80"/>
      </w:pPr>
      <w:r>
        <w:rPr>
          <w:b/>
          <w:bCs/>
        </w:rPr>
        <w:t xml:space="preserve">v2.1 Enforcement: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Tag every narrative sentence:</w:t>
      </w:r>
      <w:r>
        <w:t xml:space="preserve"> [data_slice] [prompt_hash] [model_version] [seed].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Snapshot store for reproducibility.</w:t>
      </w:r>
      <w:r>
        <w:t xml:space="preserve"> Encrypted, client-held, survives tear-down. Re-running with same snapshot produces identical narrative.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Audit Committee deliverable:</w:t>
      </w:r>
      <w:r>
        <w:t xml:space="preserve"> (1) narrative + provenance tags, (2) original prompt, (3) model version, (4) ability to re-run and verify.</w:t>
      </w:r>
    </w:p>
    <w:p>
      <w:pPr>
        <w:pStyle w:val="Heading2"/>
      </w:pPr>
      <w:r>
        <w:t xml:space="preserve">3.5 Finding #8: Tear-Down Attestation &amp; Artefact Destruction (Enforcement)</w:t>
      </w:r>
    </w:p>
    <w:p>
      <w:pPr>
        <w:spacing w:after="80"/>
      </w:pPr>
      <w:r>
        <w:rPr>
          <w:b/>
          <w:bCs/>
        </w:rPr>
        <w:t xml:space="preserve">The Problem:</w:t>
      </w:r>
    </w:p>
    <w:p>
      <w:pPr>
        <w:spacing w:after="120"/>
      </w:pPr>
      <w:r>
        <w:t xml:space="preserve">v2.0 attests to compute destruction. Real-world sprawl: consultant laptops, Slack/Teams, email PDFs, AWS EBS snapshots, advisor anonymised aggregates — all outside the perimeter.</w:t>
      </w:r>
    </w:p>
    <w:p>
      <w:pPr>
        <w:spacing w:after="80"/>
      </w:pPr>
      <w:r>
        <w:rPr>
          <w:b/>
          <w:bCs/>
        </w:rPr>
        <w:t xml:space="preserve">v2.1 Enforcement: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Consultant-side artefact protocol.</w:t>
      </w:r>
      <w:r>
        <w:t xml:space="preserve"> DLP-style scan of laptops, Slack/Mail sweep, tagged deletion.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Cloud-provider verification.</w:t>
      </w:r>
      <w:r>
        <w:t xml:space="preserve"> AWS resource-tag search proving zero residual EBS, RDS, S3 post-tear-down.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Attestation includes:</w:t>
      </w:r>
      <w:r>
        <w:t xml:space="preserve"> compute + backup + consultant artefact sweep + cloud verification.</w:t>
      </w:r>
    </w:p>
    <w:p>
      <w:pPr>
        <w:pStyle w:val="Heading2"/>
      </w:pPr>
      <w:r>
        <w:t xml:space="preserve">3.6 Finding #10: Pool-Scoped RBAC &amp; Role Escalation (Enforcement)</w:t>
      </w:r>
    </w:p>
    <w:p>
      <w:pPr>
        <w:spacing w:after="80"/>
      </w:pPr>
      <w:r>
        <w:rPr>
          <w:b/>
          <w:bCs/>
        </w:rPr>
        <w:t xml:space="preserve">The Problem:</w:t>
      </w:r>
    </w:p>
    <w:p>
      <w:pPr>
        <w:spacing w:after="120"/>
      </w:pPr>
      <w:r>
        <w:t xml:space="preserve">v2.0 defines 4 roles. Functional Owners (CHRO, CIO) need pool-scoped access, not global read/write. CFO drilling from board chart to B3 vendor list implies escalation that's unspecified.</w:t>
      </w:r>
    </w:p>
    <w:p>
      <w:pPr>
        <w:spacing w:after="80"/>
      </w:pPr>
      <w:r>
        <w:rPr>
          <w:b/>
          <w:bCs/>
        </w:rPr>
        <w:t xml:space="preserve">v2.1 Enforcement: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Pool-scoped functional-owner role.</w:t>
      </w:r>
      <w:r>
        <w:t xml:space="preserve"> CHRO sees people-cost pool + B3 detail; CFO sees all; procurement lead sees spend only.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Separated audit-log from token-map.</w:t>
      </w:r>
      <w:r>
        <w:t xml:space="preserve"> Auditor reads logs but cannot reverse-tokenise without DPO approval.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Documented escalation flow.</w:t>
      </w:r>
      <w:r>
        <w:t xml:space="preserve"> CFO drill-through = temporary role upgrade, logged, 24h expiry.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Default: pool-scoped; elevation is logged and time-bound.</w:t>
      </w:r>
    </w:p>
    <w:p>
      <w:r>
        <w:br w:type="page"/>
      </w:r>
    </w:p>
    <w:p>
      <w:pPr>
        <w:pStyle w:val="Heading1"/>
      </w:pPr>
      <w:r>
        <w:t xml:space="preserve">4. OPAR Engine: Enforcement Enhancements</w:t>
      </w:r>
    </w:p>
    <w:p>
      <w:pPr>
        <w:pStyle w:val="Heading2"/>
      </w:pPr>
      <w:r>
        <w:t xml:space="preserve">4.1 Finding #3: Determinism-Mode Quality Degradation (Enforcement)</w:t>
      </w:r>
    </w:p>
    <w:p>
      <w:pPr>
        <w:spacing w:after="80"/>
      </w:pPr>
      <w:r>
        <w:rPr>
          <w:b/>
          <w:bCs/>
        </w:rPr>
        <w:t xml:space="preserve">The Problem:</w:t>
      </w:r>
    </w:p>
    <w:p>
      <w:pPr>
        <w:spacing w:after="120"/>
      </w:pPr>
      <w:r>
        <w:t xml:space="preserve">M1 (determinism-only) is default for BFSI/healthcare, the most lucrative segment. peer-disclosure-miner captures ~20–30% of signal; root-cause-analyzer uses hard-coded heuristics. Asset's value prop implicitly assumes model, but M1 trade-off is never surfaced.</w:t>
      </w:r>
    </w:p>
    <w:p>
      <w:pPr>
        <w:spacing w:after="80"/>
      </w:pPr>
      <w:r>
        <w:rPr>
          <w:b/>
          <w:bCs/>
        </w:rPr>
        <w:t xml:space="preserve">v2.1 Enforcement: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Per-skill capability matrix (M1/M2/M3).</w:t>
      </w:r>
      <w:r>
        <w:t xml:space="preserve"> Regression-tested quality degradation for every skill.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Surface "degraded output" in cost room.</w:t>
      </w:r>
      <w:r>
        <w:t xml:space="preserve"> Every affected skill shows M1 quality reduction explicitly.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M1 requires CFO sign-off for BFSI.</w:t>
      </w:r>
      <w:r>
        <w:t xml:space="preserve"> Documented in SoW; no default silent degradation.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Example matrix entry:</w:t>
      </w:r>
      <w:r>
        <w:t xml:space="preserve"> peer-disclosure-miner: M1=25% signal, M2=85%, M3=50%.</w:t>
      </w:r>
    </w:p>
    <w:p>
      <w:pPr>
        <w:pStyle w:val="Heading2"/>
      </w:pPr>
      <w:r>
        <w:t xml:space="preserve">4.2 Finding #4: Genuine DAG Replanner (Enforcement)</w:t>
      </w:r>
    </w:p>
    <w:p>
      <w:pPr>
        <w:spacing w:after="80"/>
      </w:pPr>
      <w:r>
        <w:rPr>
          <w:b/>
          <w:bCs/>
        </w:rPr>
        <w:t xml:space="preserve">The Problem:</w:t>
      </w:r>
    </w:p>
    <w:p>
      <w:pPr>
        <w:spacing w:after="120"/>
      </w:pPr>
      <w:r>
        <w:t xml:space="preserve">v2.0 PLAN phase respects sector pack rules and engagement weeks; skills run in fixed groups. Week 4 reveals working capital is top opportunity (not opex). DAG has no path to re-route; engagement either delivers wrong analysis on schedule or slips.</w:t>
      </w:r>
    </w:p>
    <w:p>
      <w:pPr>
        <w:spacing w:after="80"/>
      </w:pPr>
      <w:r>
        <w:rPr>
          <w:b/>
          <w:bCs/>
        </w:rPr>
        <w:t xml:space="preserve">v2.1 Enforcement: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Genuine PLAN-phase replanner,</w:t>
      </w:r>
      <w:r>
        <w:t xml:space="preserve"> fires at each Reflect gate with objective function: (top-opportunity coverage) + (peer evidence strength) + (engagement-week feasibility).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Explicit branches:</w:t>
      </w:r>
      <w:r>
        <w:t xml:space="preserve"> "If peer evidence &lt; threshold, route to internal-benchmarker only." "If WC opportunity &gt; opex by &gt;2x, swap deep-dive cluster."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Replanner decision logged.</w:t>
      </w:r>
      <w:r>
        <w:t xml:space="preserve"> Audit trail shows why skills were re-ordered or substituted.</w:t>
      </w:r>
    </w:p>
    <w:p>
      <w:pPr>
        <w:pStyle w:val="Heading2"/>
      </w:pPr>
      <w:r>
        <w:t xml:space="preserve">4.3 Finding #5: Assumption-Quality Enforce at Reflect (Enforcement)</w:t>
      </w:r>
    </w:p>
    <w:p>
      <w:pPr>
        <w:spacing w:after="80"/>
      </w:pPr>
      <w:r>
        <w:rPr>
          <w:b/>
          <w:bCs/>
        </w:rPr>
        <w:t xml:space="preserve">The Problem:</w:t>
      </w:r>
    </w:p>
    <w:p>
      <w:pPr>
        <w:spacing w:after="120"/>
      </w:pPr>
      <w:r>
        <w:t xml:space="preserve">v2.0 Reflect validates schema and coherence; confidence is P10/P50/P90. But what does Reflect </w:t>
      </w:r>
      <w:r>
        <w:t xml:space="preserve">do</w:t>
      </w:r>
      <w:r>
        <w:t xml:space="preserve"> with source="engagement-team estimate, no validation" and range=[₹190, ₹320]Cr? 400 assumptions × 80 initiatives will not be human-reviewed.</w:t>
      </w:r>
    </w:p>
    <w:p>
      <w:pPr>
        <w:spacing w:after="80"/>
      </w:pPr>
      <w:r>
        <w:rPr>
          <w:b/>
          <w:bCs/>
        </w:rPr>
        <w:t xml:space="preserve">v2.1 Enforcement: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AssumptionQualityScore (0–1)</w:t>
      </w:r>
      <w:r>
        <w:t xml:space="preserve"> computed from: {source class, validation age (days), owner sign-off, range plausibility vs. peer dispersion}.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Gate 2 block rule:</w:t>
      </w:r>
      <w:r>
        <w:t xml:space="preserve"> any assumption &lt;0.65 blocks initiative promotion unless explicitly overridden by CFO.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CFO brief surfaces low-quality assumptions.</w:t>
      </w:r>
      <w:r>
        <w:t xml:space="preserve"> All assumptions &lt;0.70 and their quality drivers listed explicitly.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Reflect signature includes quality attestation.</w:t>
      </w:r>
      <w:r>
        <w:t xml:space="preserve"> "All assumptions average quality 0.78; flagged items listed below."</w:t>
      </w:r>
    </w:p>
    <w:p>
      <w:pPr>
        <w:pStyle w:val="Heading2"/>
      </w:pPr>
      <w:r>
        <w:t xml:space="preserve">4.4 Finding #9: Regulatory-Event Watcher (Enforcement)</w:t>
      </w:r>
    </w:p>
    <w:p>
      <w:pPr>
        <w:spacing w:after="80"/>
      </w:pPr>
      <w:r>
        <w:rPr>
          <w:b/>
          <w:bCs/>
        </w:rPr>
        <w:t xml:space="preserve">The Problem:</w:t>
      </w:r>
    </w:p>
    <w:p>
      <w:pPr>
        <w:spacing w:after="120"/>
      </w:pPr>
      <w:r>
        <w:t xml:space="preserve">v2.0 locks pack version at engagement start. Week 5 GST notification, Week 7 CMIE refresh arrive; engagement runs with superseded rules. Peer benchmarks stale by a quarter.</w:t>
      </w:r>
    </w:p>
    <w:p>
      <w:pPr>
        <w:spacing w:after="80"/>
      </w:pPr>
      <w:r>
        <w:rPr>
          <w:b/>
          <w:bCs/>
        </w:rPr>
        <w:t xml:space="preserve">v2.1 Enforcement: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Regulatory-event watcher</w:t>
      </w:r>
      <w:r>
        <w:t xml:space="preserve"> monitoring GST/SEBI/RBI/IRDAI, CMIE releases, sector-specific events in real-time.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 each Reflect gate,</w:t>
      </w:r>
      <w:r>
        <w:t xml:space="preserve"> surface material in-engagement changes with forced decision: "Accept stale / Refresh pack / Partial refresh."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Decision logged; affected initiatives re-baselined.</w:t>
      </w:r>
      <w:r>
        <w:t xml:space="preserve"> Audit trail shows why assumptions or benchmarks changed mid-engagement.</w:t>
      </w:r>
    </w:p>
    <w:p>
      <w:r>
        <w:br w:type="page"/>
      </w:r>
    </w:p>
    <w:p>
      <w:pPr>
        <w:pStyle w:val="Heading1"/>
      </w:pPr>
      <w:r>
        <w:t xml:space="preserve">5. Finding #6: Calibration Pipeline (Cross-Engagement Learning)</w:t>
      </w:r>
    </w:p>
    <w:p>
      <w:pPr>
        <w:spacing w:after="80"/>
      </w:pPr>
      <w:r>
        <w:rPr>
          <w:b/>
          <w:bCs/>
        </w:rPr>
        <w:t xml:space="preserve">The Problem:</w:t>
      </w:r>
    </w:p>
    <w:p>
      <w:pPr>
        <w:spacing w:after="120"/>
      </w:pPr>
      <w:r>
        <w:t xml:space="preserve">v2.0 memory is engagement_id-scoped and destroyed at tear-down. Realised savings vs. committed (12/24 months) are "tracked" but have no feedback loop to lever-range calibration. After 20 engagements, system has zero more calibration than after 1.</w:t>
      </w:r>
    </w:p>
    <w:p>
      <w:pPr>
        <w:spacing w:after="80"/>
      </w:pPr>
      <w:r>
        <w:rPr>
          <w:b/>
          <w:bCs/>
        </w:rPr>
        <w:t xml:space="preserve">v2.1 Enforcement:</w:t>
      </w:r>
    </w:p>
    <w:p>
      <w:pPr>
        <w:spacing w:after="120"/>
      </w:pPr>
      <w:r>
        <w:rPr>
          <w:b/>
          <w:bCs/>
        </w:rPr>
        <w:t xml:space="preserve">Formal calibration pipeline:</w:t>
      </w:r>
    </w:p>
    <w:p>
      <w:pPr>
        <w:pStyle w:val="ListParagraph"/>
        <w:numPr>
          <w:ilvl w:val="0"/>
          <w:numId w:val="3"/>
        </w:numPr>
      </w:pPr>
      <w:r>
        <w:t xml:space="preserve">T+12m: Realised-savings ingestion (initiative owner provides actual ₹ saved).</w:t>
      </w:r>
    </w:p>
    <w:p>
      <w:pPr>
        <w:pStyle w:val="ListParagraph"/>
        <w:numPr>
          <w:ilvl w:val="0"/>
          <w:numId w:val="3"/>
        </w:numPr>
      </w:pPr>
      <w:r>
        <w:t xml:space="preserve">T+14m: Variance analysis (committed vs. realised); auto-generate lever-range update proposal.</w:t>
      </w:r>
    </w:p>
    <w:p>
      <w:pPr>
        <w:pStyle w:val="ListParagraph"/>
        <w:numPr>
          <w:ilvl w:val="0"/>
          <w:numId w:val="3"/>
        </w:numPr>
      </w:pPr>
      <w:r>
        <w:t xml:space="preserve">T+16m: Senior advisor review + version bump.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Post-engagement MOR pack surfaces "lever variance." Future engagements inherit calibrated defaults, not stale pack assumptions.</w:t>
      </w:r>
    </w:p>
    <w:p>
      <w:pPr>
        <w:pStyle w:val="Heading1"/>
      </w:pPr>
      <w:r>
        <w:t xml:space="preserve">6. Finding #11: Tiered Scale Architecture</w:t>
      </w:r>
    </w:p>
    <w:p>
      <w:pPr>
        <w:spacing w:after="80"/>
      </w:pPr>
      <w:r>
        <w:rPr>
          <w:b/>
          <w:bCs/>
        </w:rPr>
        <w:t xml:space="preserve">The Problem:</w:t>
      </w:r>
    </w:p>
    <w:p>
      <w:pPr>
        <w:spacing w:after="120"/>
      </w:pPr>
      <w:r>
        <w:t xml:space="preserve">v2.0 SLOs target ≤100k spend lines, &lt;500ms cost-room filter. Target buyers are ₹15k–50k Cr with 5–20M GL lines. SLOs are 2 orders of magnitude too small.</w:t>
      </w:r>
    </w:p>
    <w:p>
      <w:pPr>
        <w:spacing w:after="80"/>
      </w:pPr>
      <w:r>
        <w:rPr>
          <w:b/>
          <w:bCs/>
        </w:rPr>
        <w:t xml:space="preserve">v2.1 Enforcement:</w:t>
      </w:r>
    </w:p>
    <w:p>
      <w:pPr>
        <w:spacing w:after="120"/>
      </w:pPr>
      <w:r>
        <w:rPr>
          <w:b/>
          <w:bCs/>
        </w:rPr>
        <w:t xml:space="preserve">Tiered SLOs: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Mid-cap (₹2k–15k Cr): </w:t>
      </w:r>
      <w:r>
        <w:t xml:space="preserve">100k spend lines, &lt;1s ingestion, &lt;500ms cost-room filter.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Large-cap (₹15k–50k Cr): </w:t>
      </w:r>
      <w:r>
        <w:t xml:space="preserve">5M spend lines, &lt;30s ingestion, &lt;200ms filter (cached).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Conglomerate (₹50k+ Cr): </w:t>
      </w:r>
      <w:r>
        <w:t xml:space="preserve">20M+ lines, &lt;120s ingestion, &lt;100ms filter (materialised).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Caching layer:</w:t>
      </w:r>
      <w:r>
        <w:t xml:space="preserve"> Redis (&lt;500k initiatives), Spark (&gt;5M lines).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Performance benchmark every release.</w:t>
      </w:r>
      <w:r>
        <w:t xml:space="preserve"> Block deployment if large-cap SLO not met.</w:t>
      </w:r>
    </w:p>
    <w:p>
      <w:pPr>
        <w:pStyle w:val="Heading1"/>
      </w:pPr>
      <w:r>
        <w:t xml:space="preserve">7. Finding #12: Per-Skill, Per-Mode Quality Matrix</w:t>
      </w:r>
    </w:p>
    <w:p>
      <w:pPr>
        <w:spacing w:after="80"/>
      </w:pPr>
      <w:r>
        <w:rPr>
          <w:b/>
          <w:bCs/>
        </w:rPr>
        <w:t xml:space="preserve">The Problem:</w:t>
      </w:r>
    </w:p>
    <w:p>
      <w:pPr>
        <w:spacing w:after="120"/>
      </w:pPr>
      <w:r>
        <w:t xml:space="preserve">v2.0 targets 'CFO satisfaction ≥4.5/5' but never specifies M1 vs. M2 vs. M3 quality. M3 narrative synthesis (on-prem Llama) is dramatically weaker than M2 (Claude/GPT). Mode selection is guesswork.</w:t>
      </w:r>
    </w:p>
    <w:p>
      <w:pPr>
        <w:spacing w:after="80"/>
      </w:pPr>
      <w:r>
        <w:rPr>
          <w:b/>
          <w:bCs/>
        </w:rPr>
        <w:t xml:space="preserve">v2.1 Enforcement:</w:t>
      </w:r>
    </w:p>
    <w:p>
      <w:pPr>
        <w:spacing w:after="120"/>
      </w:pPr>
      <w:r>
        <w:rPr>
          <w:b/>
          <w:bCs/>
        </w:rPr>
        <w:t xml:space="preserve">Example capability matrix: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Skill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Metric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peer-disclosure-miner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 capture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root-cause-analyzer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 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executive-communication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4.7/5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3.2/5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CFO satisfaction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Regression tests every release.</w:t>
      </w:r>
      <w:r>
        <w:t xml:space="preserve"> peer-disclosure-miner tested on 5 earnings-call transcripts; recall must stay ≥target.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Block M1 default for BFSI.</w:t>
      </w:r>
      <w:r>
        <w:t xml:space="preserve"> Requires CFO SoW sign-off on capability reduction.</w:t>
      </w:r>
    </w:p>
    <w:p>
      <w:r>
        <w:br w:type="page"/>
      </w:r>
    </w:p>
    <w:p>
      <w:pPr>
        <w:pStyle w:val="Heading1"/>
      </w:pPr>
      <w:r>
        <w:t xml:space="preserve">8. Implementation Roadmap</w:t>
      </w:r>
    </w:p>
    <w:p>
      <w:pPr>
        <w:spacing w:after="120"/>
      </w:pPr>
      <w:r>
        <w:t xml:space="preserve">Sequencing (prioritised by risk + deployment timeline):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1 (Weeks 1–4): </w:t>
      </w:r>
      <w:r>
        <w:t xml:space="preserve">PII stripper + continuous classification.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2 (Weeks 5–8): </w:t>
      </w:r>
      <w:r>
        <w:t xml:space="preserve">Assumption-quality enforcement + RBAC pool-scoping.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3 (Weeks 9–12): </w:t>
      </w:r>
      <w:r>
        <w:t xml:space="preserve">OPAR replanner + narrative provenance.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4 (Weeks 13–16): </w:t>
      </w:r>
      <w:r>
        <w:t xml:space="preserve">Scale architecture + mode capability matrix.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Phase 5 (Weeks 17+): </w:t>
      </w:r>
      <w:r>
        <w:t xml:space="preserve">Artefact protocol + calibration pipeline + regulatory watcher.</w:t>
      </w:r>
    </w:p>
    <w:p>
      <w:pPr>
        <w:spacing w:after="360"/>
      </w:pPr>
      <w:r>
        <w:rPr>
          <w:b/>
          <w:bCs/>
          <w:color w:val="c00000"/>
        </w:rPr>
        <w:t xml:space="preserve">All enforcement requirements are regression-tested and block deployment if unmet.</w:t>
      </w:r>
    </w:p>
    <w:p>
      <w:pPr>
        <w:pStyle w:val="Heading1"/>
      </w:pPr>
      <w:r>
        <w:t xml:space="preserve">9. What Remains from v2.0</w:t>
      </w:r>
    </w:p>
    <w:p>
      <w:pPr>
        <w:spacing w:after="120"/>
      </w:pPr>
      <w:r>
        <w:t xml:space="preserve">This v2.1 document adds enforcement layer. All v2.0 content remains in force:</w:t>
      </w:r>
    </w:p>
    <w:p>
      <w:pPr>
        <w:pStyle w:val="ListParagraph"/>
        <w:numPr>
          <w:ilvl w:val="0"/>
          <w:numId w:val="2"/>
        </w:numPr>
      </w:pPr>
      <w:r>
        <w:t xml:space="preserve">Problem statement &amp; C-suite pain points (v2.0 §2)</w:t>
      </w:r>
    </w:p>
    <w:p>
      <w:pPr>
        <w:pStyle w:val="ListParagraph"/>
        <w:numPr>
          <w:ilvl w:val="0"/>
          <w:numId w:val="2"/>
        </w:numPr>
      </w:pPr>
      <w:r>
        <w:t xml:space="preserve">Asset definition &amp; 12-week engagement model (v2.0 §3)</w:t>
      </w:r>
    </w:p>
    <w:p>
      <w:pPr>
        <w:pStyle w:val="ListParagraph"/>
        <w:numPr>
          <w:ilvl w:val="0"/>
          <w:numId w:val="2"/>
        </w:numPr>
      </w:pPr>
      <w:r>
        <w:t xml:space="preserve">Sector pack framework &amp; India context layer (v2.0 §6–7)</w:t>
      </w:r>
    </w:p>
    <w:p>
      <w:pPr>
        <w:pStyle w:val="ListParagraph"/>
        <w:numPr>
          <w:ilvl w:val="0"/>
          <w:numId w:val="2"/>
        </w:numPr>
      </w:pPr>
      <w:r>
        <w:t xml:space="preserve">Skills catalog &amp; value-to-shareholder bridge (v2.0 §9–10)</w:t>
      </w:r>
    </w:p>
    <w:p>
      <w:pPr>
        <w:pStyle w:val="ListParagraph"/>
        <w:numPr>
          <w:ilvl w:val="0"/>
          <w:numId w:val="2"/>
        </w:numPr>
      </w:pPr>
      <w:r>
        <w:t xml:space="preserve">12-week playbook, success metrics, risks &amp; mitigations (v2.0 §13–16)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Appendices: taxonomy, pack effort, glossary, security one-pager, data request list (v2.0 §17)</w:t>
      </w:r>
    </w:p>
    <w:p>
      <w:pPr>
        <w:spacing w:after="360"/>
      </w:pPr>
      <w:r>
        <w:rPr>
          <w:color w:val="555555"/>
        </w:rPr>
        <w:t xml:space="preserve">For full baseline context, refer to original OpEx Intelligence Platform PRD v2.0.</w:t>
      </w:r>
    </w:p>
    <w:p>
      <w:pPr>
        <w:pBdr>
          <w:top w:val="single" w:color="2E5090" w:sz="6"/>
        </w:pBdr>
        <w:spacing w:before="360"/>
        <w:jc w:val="center"/>
      </w:pPr>
      <w:r>
        <w:rPr>
          <w:b/>
          <w:bCs/>
          <w:color w:val="1a3a52"/>
          <w:sz w:val="20"/>
          <w:szCs w:val="20"/>
        </w:rPr>
        <w:t xml:space="preserve">End of PRD v2.1: Comprehensive Architecture with Enforcement Layer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2026-05-10T13:57:03.986Z</dcterms:created>
  <dcterms:modified xsi:type="dcterms:W3CDTF">2026-05-10T13:57:03.987Z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