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1a1a"/>
          <w:sz w:val="32"/>
          <w:szCs w:val="32"/>
        </w:rPr>
        <w:t xml:space="preserve">OpEx Intelligence Platform — PRD v2.1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Architectural Enforcement Layer &amp; Stress-Test Resolution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2.1 — Stress-test response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May 10,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Design — supersedes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Confidential — Internal Use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Part 1: Executive Context</w:t>
      </w:r>
    </w:p>
    <w:p>
      <w:pPr>
        <w:spacing w:after="120"/>
      </w:pPr>
      <w:r>
        <w:rPr>
          <w:b/>
          <w:bCs/>
        </w:rPr>
        <w:t xml:space="preserve">Stress-Test Finding Summary</w:t>
      </w:r>
    </w:p>
    <w:p>
      <w:pPr>
        <w:spacing w:after="120"/>
      </w:pPr>
      <w:r>
        <w:rPr>
          <w:b/>
          <w:bCs/>
          <w:i/>
          <w:iCs/>
        </w:rPr>
        <w:t xml:space="preserve">policy rather than enforcement</w:t>
      </w:r>
    </w:p>
    <w:p>
      <w:pPr>
        <w:spacing w:after="240"/>
      </w:pPr>
      <w:r>
        <w:t xml:space="preserve">. This v2.1 layer adds the machinery to make architectural guarantees verifiable and continuous. Twelve critical findings are addressed below as enforceable requirements, not aspirational claims.</w:t>
      </w:r>
    </w:p>
    <w:p>
      <w:pPr>
        <w:pStyle w:val="Heading2"/>
      </w:pPr>
      <w:r>
        <w:t xml:space="preserve">Finding #1: PII Stripper is a Single Point of Compliance Failure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B4 fields are stripped at ingestion via regex + NER (Presidio + spaCy).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pStyle w:val="ListParagraph"/>
        <w:numPr>
          <w:ilvl w:val="0"/>
          <w:numId w:val="2"/>
        </w:numPr>
      </w:pPr>
      <w:r>
        <w:t xml:space="preserve">Presidio + spaCy recall on Indian names (Devanagari, Tamil, transliterated) is 85–94%, not &gt;99%. Real-world leakage is inevitable.</w:t>
      </w:r>
    </w:p>
    <w:p>
      <w:pPr>
        <w:pStyle w:val="ListParagraph"/>
        <w:numPr>
          <w:ilvl w:val="0"/>
          <w:numId w:val="2"/>
        </w:numPr>
      </w:pPr>
      <w:r>
        <w:t xml:space="preserve">PAN/Aadhaar leak through free-text fields, scanned PDF OCR, vendor names containing personal identifiers, GL narrations.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B4 found after ingestion has no rerun semantics — once data is in, the system trusts the classification.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 xml:space="preserve">continuous re-classification on transformation</w:t>
      </w:r>
      <w:r>
        <w:t xml:space="preserve"> — every derived field (aggregates, joins, ML outputs) is re-scanned at derivation time.</w:t>
      </w:r>
    </w:p>
    <w:p>
      <w:pPr>
        <w:pStyle w:val="ListParagraph"/>
        <w:numPr>
          <w:ilvl w:val="0"/>
          <w:numId w:val="3"/>
        </w:numPr>
      </w:pPr>
      <w:r>
        <w:t xml:space="preserve">Add a </w:t>
      </w:r>
      <w:r>
        <w:rPr>
          <w:b/>
          <w:bCs/>
        </w:rPr>
        <w:t xml:space="preserve">"suspected B4" quarantine state</w:t>
      </w:r>
      <w:r>
        <w:t xml:space="preserve"> — any cell flagged as high-confidence B4 blocks promotion until human confirmation.</w:t>
      </w:r>
    </w:p>
    <w:p>
      <w:pPr>
        <w:pStyle w:val="ListParagraph"/>
        <w:numPr>
          <w:ilvl w:val="0"/>
          <w:numId w:val="3"/>
        </w:numPr>
      </w:pPr>
      <w:r>
        <w:t xml:space="preserve">Treat the stripper as a </w:t>
      </w:r>
      <w:r>
        <w:rPr>
          <w:b/>
          <w:bCs/>
        </w:rPr>
        <w:t xml:space="preserve">probabilistic detector, not a guarantee</w:t>
      </w:r>
      <w:r>
        <w:t xml:space="preserve">. Recall target: 99.2% (1 miss per 1,000 rows max).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Implement </w:t>
      </w:r>
      <w:r>
        <w:rPr>
          <w:b/>
          <w:bCs/>
        </w:rPr>
        <w:t xml:space="preserve">per-cell re-classification before narrative generation</w:t>
      </w:r>
      <w:r>
        <w:t xml:space="preserve"> — LLM never sees a cell unless it has passed re-validation in the current run.</w:t>
      </w:r>
    </w:p>
    <w:p>
      <w:pPr>
        <w:pStyle w:val="Heading2"/>
      </w:pPr>
      <w:r>
        <w:t xml:space="preserve">Finding #2: Classification Doesn't Survive Aggregation or Inference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B2 summaries can go to LLM; B3 must be tokenised; B4 never goes.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A B2 "category total" computed from B3 transactions inherits no provenance. When root-cause-analyzer surfaces "85% of branch rent variance is concentrated in 3 metro branches," that is a B3 disclosure derived from B2-labelled output. Re-identification is trivial.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 xml:space="preserve">k-anonymity / l-diversity gates on aggregates</w:t>
      </w:r>
      <w:r>
        <w:t xml:space="preserve"> before they are labelled B2. Any aggregate with N&lt;5 underlying entities is automatically classified as B3.</w:t>
      </w:r>
    </w:p>
    <w:p>
      <w:pPr>
        <w:pStyle w:val="ListParagraph"/>
        <w:numPr>
          <w:ilvl w:val="0"/>
          <w:numId w:val="3"/>
        </w:numPr>
      </w:pPr>
      <w:r>
        <w:t xml:space="preserve">Compute an </w:t>
      </w:r>
      <w:r>
        <w:rPr>
          <w:b/>
          <w:bCs/>
        </w:rPr>
        <w:t xml:space="preserve">inference-risk score per chart</w:t>
      </w:r>
      <w:r>
        <w:t xml:space="preserve"> (re-identification difficulty given sector, peer set, and narrative context). Charts with score&lt;50 are B3-tagged.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Hard rule: </w:t>
      </w:r>
      <w:r>
        <w:rPr>
          <w:b/>
          <w:bCs/>
        </w:rPr>
        <w:t xml:space="preserve">any aggregate with N&lt;5 underlying entities is B3, not B2</w:t>
      </w:r>
      <w:r>
        <w:t xml:space="preserve">, even if source data is B2.</w:t>
      </w:r>
    </w:p>
    <w:p>
      <w:pPr>
        <w:pStyle w:val="Heading2"/>
      </w:pPr>
      <w:r>
        <w:t xml:space="preserve">Finding #3: Determinism-First Mode Silently Degrades Core Skills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M1 (determinism-only) is the default for BFSI, healthcare, defence — the most lucrative segment.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pStyle w:val="ListParagraph"/>
        <w:numPr>
          <w:ilvl w:val="0"/>
          <w:numId w:val="2"/>
        </w:numPr>
      </w:pPr>
      <w:r>
        <w:t xml:space="preserve">peer-disclosure-miner in M1 mode captures ~20–30% of signal (regex + keyword matching only; no LLM extraction).</w:t>
      </w:r>
    </w:p>
    <w:p>
      <w:pPr>
        <w:pStyle w:val="ListParagraph"/>
        <w:numPr>
          <w:ilvl w:val="0"/>
          <w:numId w:val="2"/>
        </w:numPr>
      </w:pPr>
      <w:r>
        <w:t xml:space="preserve">root-cause-analyzer and heuristic-analyzer rely on schema-aware reasoning; M1 uses hard-coded heuristics, missing client-specific patterns.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Asset's value prop ("collapse 12 weeks to 3") is implicitly model-dependent. M1 collapses much less, but this trade-off is never surfaced.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Create a </w:t>
      </w:r>
      <w:r>
        <w:rPr>
          <w:b/>
          <w:bCs/>
        </w:rPr>
        <w:t xml:space="preserve">per-skill, per-mode capability matrix</w:t>
      </w:r>
      <w:r>
        <w:t xml:space="preserve"> documenting output quality degradation M1 vs. M2 vs. M3.</w:t>
      </w:r>
    </w:p>
    <w:p>
      <w:pPr>
        <w:pStyle w:val="ListParagraph"/>
        <w:numPr>
          <w:ilvl w:val="0"/>
          <w:numId w:val="3"/>
        </w:numPr>
      </w:pPr>
      <w:r>
        <w:t xml:space="preserve">Surface "</w:t>
      </w:r>
      <w:r>
        <w:rPr>
          <w:b/>
          <w:bCs/>
        </w:rPr>
        <w:t xml:space="preserve">this skill returns degraded output in M1</w:t>
      </w:r>
      <w:r>
        <w:t xml:space="preserve">" in the cost room UI for every affected skill.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Do not allow M1 to be the default for BFSI without explicit CFO sign-off on the capability reduction, documented in the engagement SoW.</w:t>
      </w:r>
    </w:p>
    <w:p>
      <w:pPr>
        <w:pStyle w:val="Heading2"/>
      </w:pPr>
      <w:r>
        <w:t xml:space="preserve">Finding #4: Skill DAG is Schedule-Driven, Not Data-Driven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OPAR's PLAN phase respects sector pack rules and engagement-week constraints; skills run in fixed sequential groups.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Week 4 Gate reveals that the top opportunity is working capital (not cost-out). The playbook is structured around opex pools. The DAG has no path to re-route to deep-dive without manual rewiring. Engagement either delivers the wrong analysis on schedule or slips.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a </w:t>
      </w:r>
      <w:r>
        <w:rPr>
          <w:b/>
          <w:bCs/>
        </w:rPr>
        <w:t xml:space="preserve">genuine PLAN-phase replanner</w:t>
      </w:r>
      <w:r>
        <w:t xml:space="preserve"> that fires at each Reflect gate with explicit branches: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"If peer evidence &lt; threshold, route to internal-benchmarker only."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"If working-capital opportunity &gt; opex opportunity by &gt;2x, swap deep-dive cluster."</w:t>
      </w:r>
    </w:p>
    <w:p>
      <w:pPr>
        <w:spacing w:after="240"/>
      </w:pPr>
      <w:r>
        <w:t xml:space="preserve">The replanner must be an actual objective function optimizing for (top-opportunity coverage) + (peer evidence strength) + (engagement-week feasibility), not a checklist.</w:t>
      </w:r>
    </w:p>
    <w:p>
      <w:pPr>
        <w:pStyle w:val="Heading2"/>
      </w:pPr>
      <w:r>
        <w:t xml:space="preserve">Finding #5: Reflect Has No Real Teeth on Assumption Quality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Three-layer Reflect (schema, coherence, confidence) with confidence driven by P10/P50/P90 from assumption register.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PRD never specifies what Reflect does with a poor-quality assumption. If A1 has source="engagement-team estimate, no validation" and range=[₹190, ₹320] Cr — does Reflect block the initiative? Downgrade it? Just log it? 400 assumptions across 80 initiatives will not be human-reviewed.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 xml:space="preserve">AssumptionQualityScore (0–1)</w:t>
      </w:r>
      <w:r>
        <w:t xml:space="preserve"> computed from: {source class, validation age (days), owner sign-off, range plausibility vs. peer dispersion}.</w:t>
      </w:r>
    </w:p>
    <w:p>
      <w:pPr>
        <w:pStyle w:val="ListParagraph"/>
        <w:numPr>
          <w:ilvl w:val="0"/>
          <w:numId w:val="3"/>
        </w:numPr>
      </w:pPr>
      <w:r>
        <w:t xml:space="preserve">At Reflect, </w:t>
      </w:r>
      <w:r>
        <w:rPr>
          <w:b/>
          <w:bCs/>
        </w:rPr>
        <w:t xml:space="preserve">block initiative promotion past Gate 2 if any assumption scores &lt;0.65</w:t>
      </w:r>
      <w:r>
        <w:t xml:space="preserve">, unless explicitly overridden by CFO.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Surface assumption quality in the CFO brief: list all assumptions &lt;0.70 and their quality drivers explicitly.</w:t>
      </w:r>
    </w:p>
    <w:p>
      <w:pPr>
        <w:pStyle w:val="Heading2"/>
      </w:pPr>
      <w:r>
        <w:t xml:space="preserve">Finding #6: Engagement-Scoped Memory Loses Every Learning Signal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Memory is engagement_id-scoped and destroyed at tear-down. Cross-engagement learning happens only through anonymised aggregates and pack version updates.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pStyle w:val="ListParagraph"/>
        <w:numPr>
          <w:ilvl w:val="0"/>
          <w:numId w:val="2"/>
        </w:numPr>
      </w:pPr>
      <w:r>
        <w:t xml:space="preserve">Indian sector concentration: 4 large banks, 3 cement majors, 4 IT services. Aggregates of &lt;5 clients re-identify trivially.</w:t>
      </w:r>
    </w:p>
    <w:p>
      <w:pPr>
        <w:pStyle w:val="ListParagraph"/>
        <w:numPr>
          <w:ilvl w:val="0"/>
          <w:numId w:val="2"/>
        </w:numPr>
      </w:pPr>
      <w:r>
        <w:t xml:space="preserve">Realised savings vs. committed (12/24 months) are "tracked" but have no feedback loop wiring back to lever-default ranges.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20 engagements, the system has no more calibration than after 1.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a formal </w:t>
      </w:r>
      <w:r>
        <w:rPr>
          <w:b/>
          <w:bCs/>
        </w:rPr>
        <w:t xml:space="preserve">calibration pipeline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Realised-savings ingestion (12 months post-engagement).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Sector pack lever-range update proposal (auto-generated).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Senior advisor review + versioned release.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Track realised vs. committed in the post-engagement MOR pack; surface "lever variance" per initiative so future engagements learn.</w:t>
      </w:r>
    </w:p>
    <w:p>
      <w:pPr>
        <w:pStyle w:val="Heading2"/>
      </w:pPr>
      <w:r>
        <w:t xml:space="preserve">Finding #7: Audit Trail Breaks at LLM-Generated Narrative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"Every number traces back through assumption_register → input data → ingestion log → original source."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This works for numbers. It does not work for LLM-generated narrative. "The opportunity is concentrated in branch and tech" — where did this come from? What's the threshold? Is it auditable? M2 mode uses managed LLMs with zero retention, so re-running 6 weeks later cannot reproduce the prior narrative.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Tag every narrative sentence with: </w:t>
      </w:r>
      <w:r>
        <w:rPr>
          <w:b/>
          <w:bCs/>
        </w:rPr>
        <w:t xml:space="preserve">[data_slice] [prompt_hash] [model_version] [seed]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Implement a </w:t>
      </w:r>
      <w:r>
        <w:rPr>
          <w:b/>
          <w:bCs/>
        </w:rPr>
        <w:t xml:space="preserve">snapshot store for reproducibility</w:t>
      </w:r>
      <w:r>
        <w:t xml:space="preserve"> — encrypted, client-held, survives tear-down. Re-running with same snapshot produces identical narrative.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Audit Committee gets: (1) narrative + provenance tags, (2) original prompt, (3) model version, (4) ability to re-run and verify unchanged output.</w:t>
      </w:r>
    </w:p>
    <w:p>
      <w:pPr>
        <w:pStyle w:val="Heading2"/>
      </w:pPr>
      <w:r>
        <w:t xml:space="preserve">Finding #8: Tear-Down Attests to Compute, Not Artefacts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Tear-down destroys all compute, storage, backups; attestation signed by Engagement Partner + Client InfoSec.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Real-world artefact sprawl: consultant laptops (Excel exports, screenshots), Slack/Teams messages, email PDFs, cloud-provider EBS snapshot retention, anonymised aggregates at advisory — all outside the tear-down perimeter.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 xml:space="preserve">consultant-side artefact destruction protocol</w:t>
      </w:r>
      <w:r>
        <w:t xml:space="preserve">: DLP-style scan of consultant laptops, Slack/Mail retention sweep, tagged file deletion.</w:t>
      </w:r>
    </w:p>
    <w:p>
      <w:pPr>
        <w:pStyle w:val="ListParagraph"/>
        <w:numPr>
          <w:ilvl w:val="0"/>
          <w:numId w:val="3"/>
        </w:numPr>
      </w:pPr>
      <w:r>
        <w:t xml:space="preserve">Verify </w:t>
      </w:r>
      <w:r>
        <w:rPr>
          <w:b/>
          <w:bCs/>
        </w:rPr>
        <w:t xml:space="preserve">cloud-provider-level deletion</w:t>
      </w:r>
      <w:r>
        <w:t xml:space="preserve">: AWS resource-tag search proving zero residual EBS snapshots, RDS backups, S3 buckets post-tear-down.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Attestation includes: compute deletion, backup deletion, </w:t>
      </w:r>
      <w:r>
        <w:rPr>
          <w:b/>
          <w:bCs/>
        </w:rPr>
        <w:t xml:space="preserve">consultant artefact sweep attestation</w:t>
      </w:r>
      <w:r>
        <w:t xml:space="preserve">, cloud provider verification.</w:t>
      </w:r>
    </w:p>
    <w:p>
      <w:pPr>
        <w:pStyle w:val="Heading2"/>
      </w:pPr>
      <w:r>
        <w:t xml:space="preserve">Finding #9: Pack Version Locking Guarantees Regulatory Staleness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Pack version is locked at engagement start (no mid-engagement upgrades).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A 12-week engagement starts in Week 1. GST notification drops in Week 5. CMIE refresh lands in Week 7. The engagement runs with regulatory_layer.md and benchmarks from before those changes. Peer benchmarks are stale by a quarter.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Implement a </w:t>
      </w:r>
      <w:r>
        <w:rPr>
          <w:b/>
          <w:bCs/>
        </w:rPr>
        <w:t xml:space="preserve">regulatory-event watcher</w:t>
      </w:r>
      <w:r>
        <w:t xml:space="preserve"> monitoring GST changes, CMIE releases, SEBI/RBI/IRDAI circulars, sector-specific events.</w:t>
      </w:r>
    </w:p>
    <w:p>
      <w:pPr>
        <w:pStyle w:val="ListParagraph"/>
        <w:numPr>
          <w:ilvl w:val="0"/>
          <w:numId w:val="3"/>
        </w:numPr>
      </w:pPr>
      <w:r>
        <w:t xml:space="preserve">At each Reflect gate, surface material in-engagement changes with forced decision: </w:t>
      </w:r>
      <w:r>
        <w:rPr>
          <w:b/>
          <w:bCs/>
        </w:rPr>
        <w:t xml:space="preserve">"Accept stale / Refresh pack / Partial refresh"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Log the decision in the audit trail; if refreshed, re-baseline affected initiatives.</w:t>
      </w:r>
    </w:p>
    <w:p>
      <w:pPr>
        <w:pStyle w:val="Heading2"/>
      </w:pPr>
      <w:r>
        <w:t xml:space="preserve">Finding #10: RBAC is Too Coarse for the Actual Access Pattern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Four roles: Sponsor (read-only outputs), Analyst (read/write data), Admin (deployment), Auditor (read all logs).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Functional Owners (CHRO, CIO, CPO) need pool-scoped access — CHRO sees people-cost initiatives and B3 detail, but not vendor names. CFO drilling from a board chart into B3 vendor list implies role escalation that's unspecified. Auditor "reads all logs" including LLM prompts containing B3 tokens, but token-map access is unspecified.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Add </w:t>
      </w:r>
      <w:r>
        <w:rPr>
          <w:b/>
          <w:bCs/>
        </w:rPr>
        <w:t xml:space="preserve">pool-scoped functional-owner role</w:t>
      </w:r>
      <w:r>
        <w:t xml:space="preserve"> — CHRO sees people-cost pool only, with B3 detail; CFO sees all pools; procurement lead sees spend pool only.</w:t>
      </w:r>
    </w:p>
    <w:p>
      <w:pPr>
        <w:pStyle w:val="ListParagraph"/>
        <w:numPr>
          <w:ilvl w:val="0"/>
          <w:numId w:val="3"/>
        </w:numPr>
      </w:pPr>
      <w:r>
        <w:t xml:space="preserve">Separate </w:t>
      </w:r>
      <w:r>
        <w:rPr>
          <w:b/>
          <w:bCs/>
        </w:rPr>
        <w:t xml:space="preserve">audit-log read from token-map access</w:t>
      </w:r>
      <w:r>
        <w:t xml:space="preserve"> — Auditor reads logs but cannot access token reversal without explicit DPO approval.</w:t>
      </w:r>
    </w:p>
    <w:p>
      <w:pPr>
        <w:pStyle w:val="ListParagraph"/>
        <w:numPr>
          <w:ilvl w:val="0"/>
          <w:numId w:val="3"/>
        </w:numPr>
      </w:pPr>
      <w:r>
        <w:t xml:space="preserve">Document </w:t>
      </w:r>
      <w:r>
        <w:rPr>
          <w:b/>
          <w:bCs/>
        </w:rPr>
        <w:t xml:space="preserve">sponsor drill-through escalation</w:t>
      </w:r>
      <w:r>
        <w:t xml:space="preserve"> — CFO clicking "show vendor names" triggers temporary role upgrade with audit log entry; expires after 24h.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Pool-scoped roles are the default; elevation is logged and time-bound.</w:t>
      </w:r>
    </w:p>
    <w:p>
      <w:pPr>
        <w:pStyle w:val="Heading2"/>
      </w:pPr>
      <w:r>
        <w:t xml:space="preserve">Finding #11: Scale Assumptions Don't Match the Target Buyer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SLOs target ≤100k spend lines, "Cost room &lt; 500ms filter response."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Target buyers are ₹15,000–50,000 Cr revenue Indian majors with 5–20M GL line items over 36 months. SLOs are 2 orders of magnitude too small. "Cost room &lt; 500ms" with no caching will not hold past 100k initiatives.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Define </w:t>
      </w:r>
      <w:r>
        <w:rPr>
          <w:b/>
          <w:bCs/>
        </w:rPr>
        <w:t xml:space="preserve">tiered scale targets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Mid-cap (₹2k–15k Cr): 100k spend lines, &lt;1s ingestion, &lt;500ms cost-room filter.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Large-cap (₹15k–50k Cr): 5M spend lines, &lt;30s ingestion, &lt;200ms filter (cached).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Conglomerate (₹50k+ Cr): 20M+ lines, &lt;120s ingestion, &lt;100ms filter (fully materialised).</w:t>
      </w:r>
    </w:p>
    <w:p>
      <w:pPr>
        <w:pStyle w:val="ListParagraph"/>
        <w:numPr>
          <w:ilvl w:val="0"/>
          <w:numId w:val="3"/>
        </w:numPr>
      </w:pPr>
      <w:r>
        <w:t xml:space="preserve">Implement </w:t>
      </w:r>
      <w:r>
        <w:rPr>
          <w:b/>
          <w:bCs/>
        </w:rPr>
        <w:t xml:space="preserve">materialized view / caching layer</w:t>
      </w:r>
      <w:r>
        <w:t xml:space="preserve"> for cost room (Redis for &lt; 500k initiatives, Spark for &gt; 5M lines).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Performance benchmark every release; block deployment if large-cap SLO is not met.</w:t>
      </w:r>
    </w:p>
    <w:p>
      <w:pPr>
        <w:pStyle w:val="Heading2"/>
      </w:pPr>
      <w:r>
        <w:t xml:space="preserve">Finding #12: The 3 LLM Modes Have No Quality Benchmark</w:t>
      </w:r>
    </w:p>
    <w:p>
      <w:pPr>
        <w:spacing w:after="80"/>
      </w:pPr>
      <w:r>
        <w:rPr>
          <w:b/>
          <w:bCs/>
        </w:rPr>
        <w:t xml:space="preserve">Claim Under Stress:</w:t>
      </w:r>
    </w:p>
    <w:p>
      <w:pPr>
        <w:spacing w:after="120"/>
      </w:pPr>
      <w:r>
        <w:t xml:space="preserve">Asset commits to "Group CFO satisfaction ≥ 4.5/5" but never specifies how output quality differs across M1/M2/M3.</w:t>
      </w:r>
    </w:p>
    <w:p>
      <w:pPr>
        <w:spacing w:after="80"/>
      </w:pPr>
      <w:r>
        <w:rPr>
          <w:b/>
          <w:bCs/>
        </w:rPr>
        <w:t xml:space="preserve">Where It Breaks:</w:t>
      </w:r>
    </w:p>
    <w:p>
      <w:pPr>
        <w:spacing w:after="120"/>
      </w:pPr>
      <w:r>
        <w:t xml:space="preserve">M3 (on-prem Llama 3.1 70B) for narrative synthesis is dramatically weaker than M2 (Bedrock Claude/Azure GPT). Mode selection is guesswork; asset's value is opaque to InfoSec.</w:t>
      </w:r>
    </w:p>
    <w:p>
      <w:pPr>
        <w:spacing w:after="80"/>
      </w:pPr>
      <w:r>
        <w:rPr>
          <w:b/>
          <w:bCs/>
        </w:rPr>
        <w:t xml:space="preserve">Enforcement Requirement (v2.1):</w:t>
      </w:r>
    </w:p>
    <w:p>
      <w:pPr>
        <w:pStyle w:val="ListParagraph"/>
        <w:numPr>
          <w:ilvl w:val="0"/>
          <w:numId w:val="3"/>
        </w:numPr>
      </w:pPr>
      <w:r>
        <w:t xml:space="preserve">Create </w:t>
      </w:r>
      <w:r>
        <w:rPr>
          <w:b/>
          <w:bCs/>
        </w:rPr>
        <w:t xml:space="preserve">per-skill, per-mode capability matrix</w:t>
      </w:r>
      <w:r>
        <w:t xml:space="preserve"> with regression tests: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root-cause-analyzer: M1=60% signal, M2=95%, M3=70%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peer-disclosure-miner: M1=25%, M2=85%, M3=50%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executive-communication (narrative): M1=N/A, M2=4.7/5, M3=3.2/5</w:t>
      </w:r>
    </w:p>
    <w:p>
      <w:pPr>
        <w:pStyle w:val="ListParagraph"/>
        <w:numPr>
          <w:ilvl w:val="0"/>
          <w:numId w:val="3"/>
        </w:numPr>
      </w:pPr>
      <w:r>
        <w:t xml:space="preserve">Run </w:t>
      </w:r>
      <w:r>
        <w:rPr>
          <w:b/>
          <w:bCs/>
        </w:rPr>
        <w:t xml:space="preserve">regression tests every release</w:t>
      </w:r>
      <w:r>
        <w:t xml:space="preserve"> (e.g., peer-disclosure-miner tested on 5 earnings-call transcripts; recall must stay ≥target).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Block M1 as default for BFSI unless CFO explicitly signs off on capability reduction in the SoW.</w:t>
      </w:r>
    </w:p>
    <w:p>
      <w:pPr>
        <w:pStyle w:val="Heading1"/>
      </w:pPr>
      <w:r>
        <w:t xml:space="preserve">Part 2: Integration Points with v2.0 Base PRD</w:t>
      </w:r>
    </w:p>
    <w:p>
      <w:pPr>
        <w:spacing w:after="240"/>
      </w:pPr>
      <w:r>
        <w:t xml:space="preserve">The 12 enforcement requirements above integrate into the v2.0 PRD as follows:</w:t>
      </w:r>
    </w:p>
    <w:p>
      <w:pPr>
        <w:pStyle w:val="Heading2"/>
      </w:pPr>
      <w:r>
        <w:t xml:space="preserve">Section 5: Security &amp; Data Sovereignty — Enhanced</w:t>
      </w:r>
    </w:p>
    <w:p>
      <w:pPr>
        <w:spacing w:after="120"/>
      </w:pPr>
      <w:r>
        <w:t xml:space="preserve">Add subsections:</w:t>
      </w:r>
    </w:p>
    <w:p>
      <w:pPr>
        <w:pStyle w:val="ListParagraph"/>
        <w:numPr>
          <w:ilvl w:val="0"/>
          <w:numId w:val="2"/>
        </w:numPr>
      </w:pPr>
      <w:r>
        <w:t xml:space="preserve">5.2a: Continuous PII Re-Classification (Finding #1)</w:t>
      </w:r>
    </w:p>
    <w:p>
      <w:pPr>
        <w:pStyle w:val="ListParagraph"/>
        <w:numPr>
          <w:ilvl w:val="0"/>
          <w:numId w:val="2"/>
        </w:numPr>
      </w:pPr>
      <w:r>
        <w:t xml:space="preserve">5.2b: Classification Provenance on Aggregates (Finding #2)</w:t>
      </w:r>
    </w:p>
    <w:p>
      <w:pPr>
        <w:pStyle w:val="ListParagraph"/>
        <w:numPr>
          <w:ilvl w:val="0"/>
          <w:numId w:val="2"/>
        </w:numPr>
      </w:pPr>
      <w:r>
        <w:t xml:space="preserve">5.5a: Narrative Provenance &amp; Snapshot Store (Finding #7)</w:t>
      </w:r>
    </w:p>
    <w:p>
      <w:pPr>
        <w:pStyle w:val="ListParagraph"/>
        <w:numPr>
          <w:ilvl w:val="0"/>
          <w:numId w:val="2"/>
        </w:numPr>
      </w:pPr>
      <w:r>
        <w:t xml:space="preserve">5.7a: Consultant-Side Artefact Destruction (Finding #8)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5.9: Pool-Scoped RBAC &amp; Escalation (Finding #10)</w:t>
      </w:r>
    </w:p>
    <w:p>
      <w:pPr>
        <w:pStyle w:val="Heading2"/>
      </w:pPr>
      <w:r>
        <w:t xml:space="preserve">Section 8: OPAR Engine — Enhanced</w:t>
      </w:r>
    </w:p>
    <w:p>
      <w:pPr>
        <w:spacing w:after="120"/>
      </w:pPr>
      <w:r>
        <w:t xml:space="preserve">Update subsections:</w:t>
      </w:r>
    </w:p>
    <w:p>
      <w:pPr>
        <w:pStyle w:val="ListParagraph"/>
        <w:numPr>
          <w:ilvl w:val="0"/>
          <w:numId w:val="2"/>
        </w:numPr>
      </w:pPr>
      <w:r>
        <w:t xml:space="preserve">8.2: What Changes — add genuine PLAN-phase replanner (Finding #4)</w:t>
      </w:r>
    </w:p>
    <w:p>
      <w:pPr>
        <w:pStyle w:val="ListParagraph"/>
        <w:numPr>
          <w:ilvl w:val="0"/>
          <w:numId w:val="2"/>
        </w:numPr>
      </w:pPr>
      <w:r>
        <w:t xml:space="preserve">8.2: What Changes — add assumption-quality enforcement in Reflect (Finding #5)</w:t>
      </w:r>
    </w:p>
    <w:p>
      <w:pPr>
        <w:pStyle w:val="ListParagraph"/>
        <w:numPr>
          <w:ilvl w:val="0"/>
          <w:numId w:val="2"/>
        </w:numPr>
      </w:pPr>
      <w:r>
        <w:t xml:space="preserve">8.3: Engagement-Scoped Memory — add calibration pipeline description (Finding #6)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8.4: Regulatory Event Watcher (Finding #9)</w:t>
      </w:r>
    </w:p>
    <w:p>
      <w:pPr>
        <w:pStyle w:val="Heading2"/>
      </w:pPr>
      <w:r>
        <w:t xml:space="preserve">Section 9: Skills Catalog — Enhanced</w:t>
      </w:r>
    </w:p>
    <w:p>
      <w:pPr>
        <w:spacing w:after="120"/>
      </w:pPr>
      <w:r>
        <w:t xml:space="preserve">Update subsections:</w:t>
      </w:r>
    </w:p>
    <w:p>
      <w:pPr>
        <w:pStyle w:val="ListParagraph"/>
        <w:numPr>
          <w:ilvl w:val="0"/>
          <w:numId w:val="2"/>
        </w:numPr>
      </w:pPr>
      <w:r>
        <w:t xml:space="preserve">9.2: New Skills — add AssumptionQualityScorer skill (Finding #5)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9.1 &amp; 9.2: Per-skill capability matrix table (M1/M2/M3 quality) (Finding #12)</w:t>
      </w:r>
    </w:p>
    <w:p>
      <w:pPr>
        <w:pStyle w:val="Heading2"/>
      </w:pPr>
      <w:r>
        <w:t xml:space="preserve">Section 14: Technical Architecture — Enhanced</w:t>
      </w:r>
    </w:p>
    <w:p>
      <w:pPr>
        <w:spacing w:after="120"/>
      </w:pPr>
      <w:r>
        <w:t xml:space="preserve">Add subsection:</w:t>
      </w:r>
    </w:p>
    <w:p>
      <w:pPr>
        <w:pStyle w:val="ListParagraph"/>
        <w:numPr>
          <w:ilvl w:val="0"/>
          <w:numId w:val="2"/>
        </w:numPr>
      </w:pPr>
      <w:r>
        <w:t xml:space="preserve">14.x: Scale Architecture (tiered targets, caching strategy) (Finding #11)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Part 3: Implementation Roadmap</w:t>
      </w:r>
    </w:p>
    <w:p>
      <w:pPr>
        <w:spacing w:after="120"/>
      </w:pPr>
      <w:r>
        <w:t xml:space="preserve">Implementation sequencing (prioritised by risk and deployment timeline):</w:t>
      </w:r>
    </w:p>
    <w:p>
      <w:pPr>
        <w:pStyle w:val="ListParagraph"/>
        <w:numPr>
          <w:ilvl w:val="0"/>
          <w:numId w:val="3"/>
        </w:numPr>
      </w:pPr>
      <w:r>
        <w:t xml:space="preserve">Phase 1 (Weeks 1–4): PII stripper enforcement (Finding #1) + continuous classification (Finding #2).</w:t>
      </w:r>
    </w:p>
    <w:p>
      <w:pPr>
        <w:pStyle w:val="ListParagraph"/>
        <w:numPr>
          <w:ilvl w:val="0"/>
          <w:numId w:val="3"/>
        </w:numPr>
      </w:pPr>
      <w:r>
        <w:t xml:space="preserve">Phase 2 (Weeks 5–8): Assumption-quality enforcement (Finding #5) + RBAC pool-scoping (Finding #10).</w:t>
      </w:r>
    </w:p>
    <w:p>
      <w:pPr>
        <w:pStyle w:val="ListParagraph"/>
        <w:numPr>
          <w:ilvl w:val="0"/>
          <w:numId w:val="3"/>
        </w:numPr>
      </w:pPr>
      <w:r>
        <w:t xml:space="preserve">Phase 3 (Weeks 9–12): OPAR replanner (Finding #4) + narrative provenance (Finding #7).</w:t>
      </w:r>
    </w:p>
    <w:p>
      <w:pPr>
        <w:pStyle w:val="ListParagraph"/>
        <w:numPr>
          <w:ilvl w:val="0"/>
          <w:numId w:val="3"/>
        </w:numPr>
      </w:pPr>
      <w:r>
        <w:t xml:space="preserve">Phase 4 (Weeks 13–16): Scale architecture (Finding #11) + mode capability matrix (Finding #12).</w:t>
      </w:r>
    </w:p>
    <w:p>
      <w:pPr>
        <w:pStyle w:val="ListParagraph"/>
        <w:numPr>
          <w:ilvl w:val="0"/>
          <w:numId w:val="3"/>
        </w:numPr>
      </w:pPr>
      <w:r>
        <w:t xml:space="preserve">Phase 5 (Weeks 17+): Artefact destruction protocol (Finding #8) + calibration pipeline (Finding #6) + regulatory watcher (Finding #9).</w:t>
      </w:r>
    </w:p>
    <w:p>
      <w:pPr>
        <w:spacing w:after="240"/>
      </w:pPr>
      <w:r>
        <w:t xml:space="preserve"/>
      </w:r>
    </w:p>
    <w:p>
      <w:pPr>
        <w:spacing w:after="360"/>
      </w:pPr>
      <w:r>
        <w:rPr>
          <w:b/>
          <w:bCs/>
          <w:color w:val="666666"/>
        </w:rPr>
        <w:t xml:space="preserve">End of Stress-Test Response Layer (v2.1)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2026-05-10T13:43:14.462Z</dcterms:created>
  <dcterms:modified xsi:type="dcterms:W3CDTF">2026-05-10T13:43:14.462Z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