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color w:val="1F4E78"/>
          <w:sz w:val="48"/>
          <w:szCs w:val="48"/>
        </w:rPr>
        <w:t xml:space="preserve">OpEx Intelligence Platform</w:t>
      </w:r>
    </w:p>
    <w:p>
      <w:pPr>
        <w:spacing w:after="240"/>
        <w:jc w:val="center"/>
      </w:pPr>
      <w:r>
        <w:rPr>
          <w:color w:val="2E75B6"/>
          <w:sz w:val="32"/>
          <w:szCs w:val="32"/>
        </w:rPr>
        <w:t xml:space="preserve">Technical Specification Document</w:t>
      </w:r>
    </w:p>
    <w:p>
      <w:pPr>
        <w:spacing w:after="600"/>
        <w:jc w:val="center"/>
      </w:pPr>
      <w:r>
        <w:rPr>
          <w:i/>
          <w:iCs/>
          <w:sz w:val="24"/>
          <w:szCs w:val="24"/>
        </w:rPr>
        <w:t xml:space="preserve">Developer Edition v1.0</w:t>
      </w:r>
    </w:p>
    <w:p>
      <w:pPr>
        <w:spacing w:after="240"/>
        <w:jc w:val="center"/>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pct" w:w="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line="240"/>
            </w:pPr>
            <w:r>
              <w:rPr>
                <w:b/>
                <w:bCs/>
              </w:rPr>
              <w:t xml:space="preserve">Field</w:t>
            </w:r>
          </w:p>
        </w:tc>
        <w:tc>
          <w:tcPr>
            <w:tcW w:type="pct" w:w="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line="240"/>
            </w:pPr>
            <w:r>
              <w:rPr>
                <w:b/>
                <w:bCs/>
              </w:rPr>
              <w:t xml:space="preserve">Value</w:t>
            </w:r>
          </w:p>
        </w:tc>
      </w:tr>
      <w:tr>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Document Version</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1.0 (Technical Specification)</w:t>
            </w:r>
          </w:p>
        </w:tc>
      </w:tr>
      <w:tr>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Date</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May 10, 2026</w:t>
            </w:r>
          </w:p>
        </w:tc>
      </w:tr>
      <w:tr>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Status</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Design &amp; Architecture</w:t>
            </w:r>
          </w:p>
        </w:tc>
      </w:tr>
      <w:tr>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Audience</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Development Team</w:t>
            </w:r>
          </w:p>
        </w:tc>
      </w:tr>
      <w:tr>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Classification</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Technical - Confidential</w:t>
            </w:r>
          </w:p>
        </w:tc>
      </w:tr>
    </w:tbl>
    <w:p>
      <w:r>
        <w:br w:type="page"/>
      </w:r>
    </w:p>
    <w:p>
      <w:pPr>
        <w:pStyle w:val="Heading1"/>
        <w:spacing w:after="200"/>
      </w:pPr>
      <w:r>
        <w:t xml:space="preserve">1. Executive Summary</w:t>
      </w:r>
    </w:p>
    <w:p>
      <w:pPr>
        <w:spacing w:after="160"/>
      </w:pPr>
      <w:r>
        <w:t xml:space="preserve">The OpEx Intelligence Platform is a modular, cloud-native diagnostic system designed to identify and quantify operating expenditure savings opportunities for large enterprises in India. This document provides the technical architecture, specifications, and implementation guidance required for development teams to build, deploy, and maintain the system.</w:t>
      </w:r>
    </w:p>
    <w:p>
      <w:pPr>
        <w:spacing w:after="120"/>
      </w:pPr>
      <w:r>
        <w:rPr>
          <w:b/>
          <w:bCs/>
        </w:rPr>
        <w:t xml:space="preserve">Core Capabilities:</w:t>
      </w:r>
    </w:p>
    <w:p>
      <w:pPr>
        <w:pStyle w:val="ListParagraph"/>
        <w:numPr>
          <w:ilvl w:val="0"/>
          <w:numId w:val="2"/>
        </w:numPr>
        <w:spacing w:after="160"/>
      </w:pPr>
      <w:r>
        <w:t xml:space="preserve">Agentic OPAR loop: Continuous Observe-Plan-Analyze-Reflect cycle with dynamic skill orchestration</w:t>
      </w:r>
    </w:p>
    <w:p>
      <w:pPr>
        <w:pStyle w:val="ListParagraph"/>
        <w:numPr>
          <w:ilvl w:val="0"/>
          <w:numId w:val="2"/>
        </w:numPr>
        <w:spacing w:after="160"/>
      </w:pPr>
      <w:r>
        <w:t xml:space="preserve">Modular skills architecture: 6+ pluggable analytical skills (peer benchmarking, cost pool analysis, automation opportunity detection, regulatory analysis, etc.)</w:t>
      </w:r>
    </w:p>
    <w:p>
      <w:pPr>
        <w:pStyle w:val="ListParagraph"/>
        <w:numPr>
          <w:ilvl w:val="0"/>
          <w:numId w:val="2"/>
        </w:numPr>
        <w:spacing w:after="160"/>
      </w:pPr>
      <w:r>
        <w:t xml:space="preserve">Enforcement machinery: 12 architectural controls for data governance, assumption quality, narrative provenance, and regulatory compliance</w:t>
      </w:r>
    </w:p>
    <w:p>
      <w:pPr>
        <w:pStyle w:val="ListParagraph"/>
        <w:numPr>
          <w:ilvl w:val="0"/>
          <w:numId w:val="2"/>
        </w:numPr>
        <w:spacing w:after="160"/>
      </w:pPr>
      <w:r>
        <w:t xml:space="preserve">Multi-tenant deployment: On-premise, VPC-isolated, or managed cloud with data sovereignty guarantees</w:t>
      </w:r>
    </w:p>
    <w:p>
      <w:pPr>
        <w:pStyle w:val="ListParagraph"/>
        <w:numPr>
          <w:ilvl w:val="0"/>
          <w:numId w:val="2"/>
        </w:numPr>
        <w:spacing w:after="160"/>
      </w:pPr>
      <w:r>
        <w:t xml:space="preserve">Scalable architecture: Support for ₹2k Cr to ₹50k+ Cr enterprises (100k to 20M+ GL lines)</w:t>
      </w:r>
    </w:p>
    <w:p>
      <w:r>
        <w:br w:type="page"/>
      </w:r>
    </w:p>
    <w:p>
      <w:pPr>
        <w:pStyle w:val="Heading1"/>
        <w:spacing w:after="200"/>
      </w:pPr>
      <w:r>
        <w:t xml:space="preserve">2. System Architecture &amp; Components</w:t>
      </w:r>
    </w:p>
    <w:p>
      <w:pPr>
        <w:pStyle w:val="Heading2"/>
        <w:spacing w:after="160"/>
      </w:pPr>
      <w:r>
        <w:t xml:space="preserve">2.1 High-Level Architecture</w:t>
      </w:r>
    </w:p>
    <w:p>
      <w:pPr>
        <w:spacing w:after="200"/>
      </w:pPr>
      <w:r>
        <w:t xml:space="preserve">The platform is organized into seven logical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6220"/>
        <w:gridCol w:w="800"/>
      </w:tblGrid>
      <w:tr>
        <w:tc>
          <w:tcPr>
            <w:tcW w:type="pct" w:w="100%"/>
            <w:tcBorders>
              <w:top w:val="single" w:color="999999" w:sz="1"/>
              <w:left w:val="single" w:color="999999" w:sz="1"/>
              <w:bottom w:val="single" w:color="999999" w:sz="1"/>
              <w:right w:val="single" w:color="999999" w:sz="1"/>
            </w:tcBorders>
            <w:shd w:fill="1F4E78" w:val="clear"/>
            <w:tcMar>
              <w:top w:type="dxa" w:w="80"/>
              <w:left w:type="dxa" w:w="120"/>
              <w:bottom w:type="dxa" w:w="80"/>
              <w:right w:type="dxa" w:w="120"/>
            </w:tcMar>
          </w:tcPr>
          <w:p>
            <w:pPr>
              <w:spacing w:line="240"/>
            </w:pPr>
            <w:r>
              <w:rPr>
                <w:b/>
                <w:bCs/>
              </w:rPr>
              <w:t xml:space="preserve">Layer</w:t>
            </w:r>
          </w:p>
        </w:tc>
        <w:tc>
          <w:tcPr>
            <w:tcW w:type="pct" w:w="100%"/>
            <w:tcBorders>
              <w:top w:val="single" w:color="999999" w:sz="1"/>
              <w:left w:val="single" w:color="999999" w:sz="1"/>
              <w:bottom w:val="single" w:color="999999" w:sz="1"/>
              <w:right w:val="single" w:color="999999" w:sz="1"/>
            </w:tcBorders>
            <w:shd w:fill="1F4E78" w:val="clear"/>
            <w:tcMar>
              <w:top w:type="dxa" w:w="80"/>
              <w:left w:type="dxa" w:w="120"/>
              <w:bottom w:type="dxa" w:w="80"/>
              <w:right w:type="dxa" w:w="120"/>
            </w:tcMar>
          </w:tcPr>
          <w:p>
            <w:pPr>
              <w:spacing w:line="240"/>
            </w:pPr>
            <w:r>
              <w:rPr>
                <w:b/>
                <w:bCs/>
              </w:rPr>
              <w:t xml:space="preserve">Components</w:t>
            </w:r>
          </w:p>
        </w:tc>
        <w:tc>
          <w:tcPr>
            <w:tcW w:type="pct" w:w="100%"/>
            <w:tcBorders>
              <w:top w:val="single" w:color="999999" w:sz="1"/>
              <w:left w:val="single" w:color="999999" w:sz="1"/>
              <w:bottom w:val="single" w:color="999999" w:sz="1"/>
              <w:right w:val="single" w:color="999999" w:sz="1"/>
            </w:tcBorders>
            <w:shd w:fill="1F4E78" w:val="clear"/>
            <w:tcMar>
              <w:top w:type="dxa" w:w="80"/>
              <w:left w:type="dxa" w:w="120"/>
              <w:bottom w:type="dxa" w:w="80"/>
              <w:right w:type="dxa" w:w="120"/>
            </w:tcMar>
          </w:tcPr>
          <w:p>
            <w:pPr>
              <w:spacing w:line="240"/>
            </w:pPr>
            <w:r>
              <w:rPr>
                <w:b/>
                <w:bCs/>
              </w:rPr>
              <w:t xml:space="preserve">#</w:t>
            </w:r>
          </w:p>
        </w:tc>
      </w:tr>
      <w:tr>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API Gateway</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REST endpoints, GraphQL layer, authentication, rate limiting, request validation</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1</w:t>
            </w:r>
          </w:p>
        </w:tc>
      </w:tr>
      <w:tr>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Orchestration</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OPAR loop controller, DAG replanner, engagement state machine, skill dispatcher</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2</w:t>
            </w:r>
          </w:p>
        </w:tc>
      </w:tr>
      <w:tr>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Skills Layer</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6+ modular skills: peer-disclosure-miner, internal-benchmarker, cost-pool-analyzer, automation-opportunity-detector, root-cause-analyzer, executive-communication</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3</w:t>
            </w:r>
          </w:p>
        </w:tc>
      </w:tr>
      <w:tr>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Enforcement</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PII classifier, assumption-quality gate, narrative provenance tracker, RBAC enforcer, regulatory watcher, artifact attestor</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4</w:t>
            </w:r>
          </w:p>
        </w:tc>
      </w:tr>
      <w:tr>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Data Layer</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PostgreSQL (transactional), Redis (cache), Spark (batch), S3 (artifacts), artifact vault</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5</w:t>
            </w:r>
          </w:p>
        </w:tc>
      </w:tr>
      <w:tr>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LLM Integration</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Claude API (M2 default), Llama on-prem (M1), fallback routing, prompt management, cost tracking</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6</w:t>
            </w:r>
          </w:p>
        </w:tc>
      </w:tr>
      <w:tr>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Interfaces</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Cost Room UI (React), dashboards, PMO tracker, audit-ready reports, admin console</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7</w:t>
            </w:r>
          </w:p>
        </w:tc>
      </w:tr>
    </w:tbl>
    <w:p>
      <w:pPr>
        <w:spacing w:after="200"/>
      </w:pPr>
      <w:r>
        <w:t xml:space="preserve"/>
      </w:r>
    </w:p>
    <w:p>
      <w:pPr>
        <w:pStyle w:val="Heading2"/>
        <w:spacing w:after="160"/>
      </w:pPr>
      <w:r>
        <w:t xml:space="preserve">2.2 Component Diagram (Text Reference)</w:t>
      </w:r>
    </w:p>
    <w:p>
      <w:pPr>
        <w:spacing w:after="120"/>
      </w:pPr>
      <w:r>
        <w:t xml:space="preserve">┌─────────────────────────────────────────────────────────────────┐</w:t>
      </w:r>
    </w:p>
    <w:p>
      <w:pPr>
        <w:spacing w:after="120"/>
      </w:pPr>
      <w:r>
        <w:t xml:space="preserve">│  CLIENT VPC / ON-PREMISE DEPLOYMENT                              │</w:t>
      </w:r>
    </w:p>
    <w:p>
      <w:pPr>
        <w:spacing w:after="120"/>
      </w:pPr>
      <w:r>
        <w:t xml:space="preserve">├─────────────────────────────────────────────────────────────────┤</w:t>
      </w:r>
    </w:p>
    <w:p>
      <w:pPr>
        <w:spacing w:after="120"/>
      </w:pPr>
      <w:r>
        <w:t xml:space="preserve">│  [API Gateway] ← → [Authentication/AuthZ Layer]                 │</w:t>
      </w:r>
    </w:p>
    <w:p>
      <w:pPr>
        <w:spacing w:after="120"/>
      </w:pPr>
      <w:r>
        <w:t xml:space="preserve">│        ↓                                                          │</w:t>
      </w:r>
    </w:p>
    <w:p>
      <w:pPr>
        <w:spacing w:after="120"/>
      </w:pPr>
      <w:r>
        <w:t xml:space="preserve">│  [OPAR Loop Controller]                                          │</w:t>
      </w:r>
    </w:p>
    <w:p>
      <w:pPr>
        <w:spacing w:after="120"/>
      </w:pPr>
      <w:r>
        <w:t xml:space="preserve">│     ↙  ↓  ↘                                                       │</w:t>
      </w:r>
    </w:p>
    <w:p>
      <w:pPr>
        <w:spacing w:after="120"/>
      </w:pPr>
      <w:r>
        <w:t xml:space="preserve">│    O    P    A    R                                               │</w:t>
      </w:r>
    </w:p>
    <w:p>
      <w:pPr>
        <w:spacing w:after="120"/>
      </w:pPr>
      <w:r>
        <w:t xml:space="preserve">│    ↓    ↓    ↓    ↓                                               │</w:t>
      </w:r>
    </w:p>
    <w:p>
      <w:pPr>
        <w:spacing w:after="120"/>
      </w:pPr>
      <w:r>
        <w:t xml:space="preserve">│  [Data   [DAG  [Skills  [Reflect    ← [Enforcement Layer]      │</w:t>
      </w:r>
    </w:p>
    <w:p>
      <w:pPr>
        <w:spacing w:after="120"/>
      </w:pPr>
      <w:r>
        <w:t xml:space="preserve">│   Ingest] Planner] Executor] Gate]                              │</w:t>
      </w:r>
    </w:p>
    <w:p>
      <w:pPr>
        <w:spacing w:after="120"/>
      </w:pPr>
      <w:r>
        <w:t xml:space="preserve">│                ↓                                                  │</w:t>
      </w:r>
    </w:p>
    <w:p>
      <w:pPr>
        <w:spacing w:after="120"/>
      </w:pPr>
      <w:r>
        <w:t xml:space="preserve">│            [Data Layer]                                          │</w:t>
      </w:r>
    </w:p>
    <w:p>
      <w:pPr>
        <w:spacing w:after="120"/>
      </w:pPr>
      <w:r>
        <w:t xml:space="preserve">│     PostgreSQL | Redis | Spark | S3                             │</w:t>
      </w:r>
    </w:p>
    <w:p>
      <w:pPr>
        <w:spacing w:after="120"/>
      </w:pPr>
      <w:r>
        <w:t xml:space="preserve">│                ↓                                                  │</w:t>
      </w:r>
    </w:p>
    <w:p>
      <w:pPr>
        <w:spacing w:after="120"/>
      </w:pPr>
      <w:r>
        <w:t xml:space="preserve">│         [Interfaces]                                             │</w:t>
      </w:r>
    </w:p>
    <w:p>
      <w:pPr>
        <w:spacing w:after="120"/>
      </w:pPr>
      <w:r>
        <w:t xml:space="preserve">│  Cost Room | Dashboard | PMO Tracker | Reports                 │</w:t>
      </w:r>
    </w:p>
    <w:p>
      <w:pPr>
        <w:spacing w:after="240"/>
      </w:pPr>
      <w:r>
        <w:t xml:space="preserve">└─────────────────────────────────────────────────────────────────┘</w:t>
      </w:r>
    </w:p>
    <w:p>
      <w:pPr>
        <w:pStyle w:val="Heading2"/>
        <w:spacing w:after="160"/>
      </w:pPr>
      <w:r>
        <w:t xml:space="preserve">2.3 Data Flow Architecture</w:t>
      </w:r>
    </w:p>
    <w:p>
      <w:pPr>
        <w:pStyle w:val="ListParagraph"/>
        <w:numPr>
          <w:ilvl w:val="0"/>
          <w:numId w:val="2"/>
        </w:numPr>
        <w:spacing w:after="160"/>
      </w:pPr>
      <w:r>
        <w:rPr>
          <w:b/>
          <w:bCs/>
        </w:rPr>
        <w:t xml:space="preserve">Ingestion: </w:t>
      </w:r>
      <w:r>
        <w:t xml:space="preserve">GL extracts (CSV/database) → PII classifier → tokenization → ingestion module → PostgreSQL</w:t>
      </w:r>
    </w:p>
    <w:p>
      <w:pPr>
        <w:pStyle w:val="ListParagraph"/>
        <w:numPr>
          <w:ilvl w:val="0"/>
          <w:numId w:val="2"/>
        </w:numPr>
        <w:spacing w:after="160"/>
      </w:pPr>
      <w:r>
        <w:rPr>
          <w:b/>
          <w:bCs/>
        </w:rPr>
        <w:t xml:space="preserve">Processing: </w:t>
      </w:r>
      <w:r>
        <w:t xml:space="preserve">Skills read from PostgreSQL → Spark for large aggregations → Redis cache for cost-room queries</w:t>
      </w:r>
    </w:p>
    <w:p>
      <w:pPr>
        <w:pStyle w:val="ListParagraph"/>
        <w:numPr>
          <w:ilvl w:val="0"/>
          <w:numId w:val="2"/>
        </w:numPr>
        <w:spacing w:after="160"/>
      </w:pPr>
      <w:r>
        <w:rPr>
          <w:b/>
          <w:bCs/>
        </w:rPr>
        <w:t xml:space="preserve">LLM Integration: </w:t>
      </w:r>
      <w:r>
        <w:t xml:space="preserve">Skill outputs + cached aggregates → Claude API (B2-only context) or Llama (M1 mode) → narrative generation</w:t>
      </w:r>
    </w:p>
    <w:p>
      <w:pPr>
        <w:pStyle w:val="ListParagraph"/>
        <w:numPr>
          <w:ilvl w:val="0"/>
          <w:numId w:val="2"/>
        </w:numPr>
        <w:spacing w:after="160"/>
      </w:pPr>
      <w:r>
        <w:rPr>
          <w:b/>
          <w:bCs/>
        </w:rPr>
        <w:t xml:space="preserve">Enforcement: </w:t>
      </w:r>
      <w:r>
        <w:t xml:space="preserve">All outputs re-classified → assumption-quality gates → narrative provenance tags → audit log → cost room + PMO tracker</w:t>
      </w:r>
    </w:p>
    <w:p>
      <w:pPr>
        <w:pStyle w:val="ListParagraph"/>
        <w:numPr>
          <w:ilvl w:val="0"/>
          <w:numId w:val="2"/>
        </w:numPr>
        <w:spacing w:after="160"/>
      </w:pPr>
      <w:r>
        <w:rPr>
          <w:b/>
          <w:bCs/>
        </w:rPr>
        <w:t xml:space="preserve">Tear-down: </w:t>
      </w:r>
      <w:r>
        <w:t xml:space="preserve">All B3/B4 data deleted → anonymized aggregates encrypted → client vault → attestation report</w:t>
      </w:r>
    </w:p>
    <w:p>
      <w:r>
        <w:br w:type="page"/>
      </w:r>
    </w:p>
    <w:p>
      <w:pPr>
        <w:pStyle w:val="Heading1"/>
        <w:spacing w:after="200"/>
      </w:pPr>
      <w:r>
        <w:t xml:space="preserve">3. API Specifications</w:t>
      </w:r>
    </w:p>
    <w:p>
      <w:pPr>
        <w:pStyle w:val="Heading2"/>
        <w:spacing w:after="160"/>
      </w:pPr>
      <w:r>
        <w:t xml:space="preserve">3.1 Authentication &amp; Authorization</w:t>
      </w:r>
    </w:p>
    <w:p>
      <w:pPr>
        <w:pStyle w:val="ListParagraph"/>
        <w:numPr>
          <w:ilvl w:val="0"/>
          <w:numId w:val="2"/>
        </w:numPr>
        <w:spacing w:after="160"/>
      </w:pPr>
      <w:r>
        <w:rPr>
          <w:b/>
          <w:bCs/>
        </w:rPr>
        <w:t xml:space="preserve">OAuth 2.0 + JWT: </w:t>
      </w:r>
      <w:r>
        <w:t xml:space="preserve">Standard token-based auth with 1-hour expiry</w:t>
      </w:r>
    </w:p>
    <w:p>
      <w:pPr>
        <w:pStyle w:val="ListParagraph"/>
        <w:numPr>
          <w:ilvl w:val="0"/>
          <w:numId w:val="2"/>
        </w:numPr>
        <w:spacing w:after="160"/>
      </w:pPr>
      <w:r>
        <w:rPr>
          <w:b/>
          <w:bCs/>
        </w:rPr>
        <w:t xml:space="preserve">Pool-Scoped RBAC: </w:t>
      </w:r>
      <w:r>
        <w:t xml:space="preserve">4 roles (CFO, functional owner, analyst, auditor) with pool-level access control</w:t>
      </w:r>
    </w:p>
    <w:p>
      <w:pPr>
        <w:pStyle w:val="ListParagraph"/>
        <w:numPr>
          <w:ilvl w:val="0"/>
          <w:numId w:val="2"/>
        </w:numPr>
        <w:spacing w:after="160"/>
      </w:pPr>
      <w:r>
        <w:rPr>
          <w:b/>
          <w:bCs/>
        </w:rPr>
        <w:t xml:space="preserve">Temporary Elevation: </w:t>
      </w:r>
      <w:r>
        <w:t xml:space="preserve">CFO drill-through = 24h temporary role upgrade, logged and audited</w:t>
      </w:r>
    </w:p>
    <w:p>
      <w:pPr>
        <w:spacing w:after="240"/>
      </w:pPr>
      <w:r>
        <w:t xml:space="preserve"/>
      </w:r>
    </w:p>
    <w:p>
      <w:pPr>
        <w:pStyle w:val="Heading2"/>
        <w:spacing w:after="160"/>
      </w:pPr>
      <w:r>
        <w:t xml:space="preserve">3.2 Core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2742"/>
      </w:tblGrid>
      <w:tr>
        <w:tc>
          <w:tcPr>
            <w:tcW w:type="pct" w:w="100%"/>
            <w:tcBorders>
              <w:top w:val="single" w:color="999999" w:sz="1"/>
              <w:left w:val="single" w:color="999999" w:sz="1"/>
              <w:bottom w:val="single" w:color="999999" w:sz="1"/>
              <w:right w:val="single" w:color="999999" w:sz="1"/>
            </w:tcBorders>
            <w:shd w:fill="1F4E78" w:val="clear"/>
            <w:tcMar>
              <w:top w:type="dxa" w:w="80"/>
              <w:left w:type="dxa" w:w="120"/>
              <w:bottom w:type="dxa" w:w="80"/>
              <w:right w:type="dxa" w:w="120"/>
            </w:tcMar>
          </w:tcPr>
          <w:p>
            <w:pPr>
              <w:spacing w:line="240"/>
            </w:pPr>
            <w:r>
              <w:rPr>
                <w:b/>
                <w:bCs/>
              </w:rPr>
              <w:t xml:space="preserve">Endpoint</w:t>
            </w:r>
          </w:p>
        </w:tc>
        <w:tc>
          <w:tcPr>
            <w:tcW w:type="pct" w:w="100%"/>
            <w:tcBorders>
              <w:top w:val="single" w:color="999999" w:sz="1"/>
              <w:left w:val="single" w:color="999999" w:sz="1"/>
              <w:bottom w:val="single" w:color="999999" w:sz="1"/>
              <w:right w:val="single" w:color="999999" w:sz="1"/>
            </w:tcBorders>
            <w:shd w:fill="1F4E78" w:val="clear"/>
            <w:tcMar>
              <w:top w:type="dxa" w:w="80"/>
              <w:left w:type="dxa" w:w="120"/>
              <w:bottom w:type="dxa" w:w="80"/>
              <w:right w:type="dxa" w:w="120"/>
            </w:tcMar>
          </w:tcPr>
          <w:p>
            <w:pPr>
              <w:spacing w:line="240"/>
            </w:pPr>
            <w:r>
              <w:rPr>
                <w:b/>
                <w:bCs/>
              </w:rPr>
              <w:t xml:space="preserve">Method</w:t>
            </w:r>
          </w:p>
        </w:tc>
        <w:tc>
          <w:tcPr>
            <w:tcW w:type="pct" w:w="100%"/>
            <w:tcBorders>
              <w:top w:val="single" w:color="999999" w:sz="1"/>
              <w:left w:val="single" w:color="999999" w:sz="1"/>
              <w:bottom w:val="single" w:color="999999" w:sz="1"/>
              <w:right w:val="single" w:color="999999" w:sz="1"/>
            </w:tcBorders>
            <w:shd w:fill="1F4E78" w:val="clear"/>
            <w:tcMar>
              <w:top w:type="dxa" w:w="80"/>
              <w:left w:type="dxa" w:w="120"/>
              <w:bottom w:type="dxa" w:w="80"/>
              <w:right w:type="dxa" w:w="120"/>
            </w:tcMar>
          </w:tcPr>
          <w:p>
            <w:pPr>
              <w:spacing w:line="240"/>
            </w:pPr>
            <w:r>
              <w:rPr>
                <w:b/>
                <w:bCs/>
              </w:rPr>
              <w:t xml:space="preserve">Purpose</w:t>
            </w:r>
          </w:p>
        </w:tc>
        <w:tc>
          <w:tcPr>
            <w:tcW w:type="pct" w:w="100%"/>
            <w:tcBorders>
              <w:top w:val="single" w:color="999999" w:sz="1"/>
              <w:left w:val="single" w:color="999999" w:sz="1"/>
              <w:bottom w:val="single" w:color="999999" w:sz="1"/>
              <w:right w:val="single" w:color="999999" w:sz="1"/>
            </w:tcBorders>
            <w:shd w:fill="1F4E78" w:val="clear"/>
            <w:tcMar>
              <w:top w:type="dxa" w:w="80"/>
              <w:left w:type="dxa" w:w="120"/>
              <w:bottom w:type="dxa" w:w="80"/>
              <w:right w:type="dxa" w:w="120"/>
            </w:tcMar>
          </w:tcPr>
          <w:p>
            <w:pPr>
              <w:spacing w:line="240"/>
            </w:pPr>
            <w:r>
              <w:rPr>
                <w:b/>
                <w:bCs/>
              </w:rPr>
              <w:t xml:space="preserve">Auth</w:t>
            </w:r>
          </w:p>
        </w:tc>
      </w:tr>
      <w:tr>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/engagements</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POST</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Start new engagement (CFO, sector, client metadata)</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CFO</w:t>
            </w:r>
          </w:p>
        </w:tc>
      </w:tr>
      <w:tr>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/engagements/{id}/ingest</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POST</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Upload GL data (CSV or database connection)</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Analyst</w:t>
            </w:r>
          </w:p>
        </w:tc>
      </w:tr>
      <w:tr>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/engagements/{id}/status</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GET</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OPAR loop status, current phase, completion %</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Any</w:t>
            </w:r>
          </w:p>
        </w:tc>
      </w:tr>
      <w:tr>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/engagements/{id}/cost-room</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GET</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Cost room data (filtered by role/pool, cached)</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Any</w:t>
            </w:r>
          </w:p>
        </w:tc>
      </w:tr>
      <w:tr>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/engagements/{id}/initiatives</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GET</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Prioritized initiative portfolio with P10/P50/P90</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CFO/Analyst</w:t>
            </w:r>
          </w:p>
        </w:tc>
      </w:tr>
      <w:tr>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/engagements/{id}/narratives</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GET</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Board-ready narratives with provenance tags</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CFO</w:t>
            </w:r>
          </w:p>
        </w:tc>
      </w:tr>
      <w:tr>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/engagements/{id}/audit-log</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GET</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Full audit trail (data access, skill invocations)</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Auditor</w:t>
            </w:r>
          </w:p>
        </w:tc>
      </w:tr>
      <w:tr>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/engagements/{id}/tear-down</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POST</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Initiate data destruction and attestation</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CFO + DPO</w:t>
            </w:r>
          </w:p>
        </w:tc>
      </w:tr>
      <w:tr>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/skills/{skill-id}/execute</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POST</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Manual skill execution (with mode: M1/M2/M3)</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Analyst</w:t>
            </w:r>
          </w:p>
        </w:tc>
      </w:tr>
    </w:tbl>
    <w:p>
      <w:pPr>
        <w:spacing w:after="240"/>
      </w:pPr>
      <w:r>
        <w:t xml:space="preserve"/>
      </w:r>
    </w:p>
    <w:p>
      <w:pPr>
        <w:pStyle w:val="Heading2"/>
        <w:spacing w:after="160"/>
      </w:pPr>
      <w:r>
        <w:t xml:space="preserve">3.3 Request/Response Schemas</w:t>
      </w:r>
    </w:p>
    <w:p>
      <w:pPr>
        <w:spacing w:after="120"/>
      </w:pPr>
      <w:r>
        <w:rPr>
          <w:b/>
          <w:bCs/>
        </w:rPr>
        <w:t xml:space="preserve">POST /engagements</w:t>
      </w:r>
    </w:p>
    <w:p>
      <w:pPr>
        <w:spacing w:after="80"/>
      </w:pPr>
      <w:r>
        <w:t xml:space="preserve">Request:</w:t>
      </w:r>
    </w:p>
    <w:p>
      <w:pPr>
        <w:spacing w:after="160"/>
      </w:pPr>
      <w:r>
        <w:t xml:space="preserve">{ "client_name": "string", "sector": "BFSI|Healthcare|Manufacturing", "revenue_cr": number, "fy": "2025-26", "cfo_name": "string", "deployment_mode": "VPC|OnPrem|Managed" }</w:t>
      </w:r>
    </w:p>
    <w:p>
      <w:pPr>
        <w:spacing w:after="80"/>
      </w:pPr>
      <w:r>
        <w:t xml:space="preserve">Response:</w:t>
      </w:r>
    </w:p>
    <w:p>
      <w:pPr>
        <w:spacing w:after="160"/>
      </w:pPr>
      <w:r>
        <w:t xml:space="preserve">{ "engagement_id": "UUID", "created_at": "ISO8601", "status": "ingestion_pending", "opar_phase": "observe" }</w:t>
      </w:r>
    </w:p>
    <w:p>
      <w:pPr>
        <w:spacing w:after="120"/>
      </w:pPr>
      <w:r>
        <w:rPr>
          <w:b/>
          <w:bCs/>
        </w:rPr>
        <w:t xml:space="preserve">GET /engagements/{id}/cost-room?pool=X&amp;limit=1000</w:t>
      </w:r>
    </w:p>
    <w:p>
      <w:pPr>
        <w:spacing w:after="80"/>
      </w:pPr>
      <w:r>
        <w:t xml:space="preserve">Response:</w:t>
      </w:r>
    </w:p>
    <w:p>
      <w:pPr>
        <w:spacing w:after="160"/>
      </w:pPr>
      <w:r>
        <w:t xml:space="preserve">{ "pool_code": "HR", "total_spend": number, "spend_lines": [{ "gl_code": "string", "vendor": "string", "amount": number, "classification": "B2|B3" }], "aggregates": { "by_category": [...], "by_vendor": [...] }, "cached": true, "cache_age_seconds": number }</w:t>
      </w:r>
    </w:p>
    <w:p>
      <w:r>
        <w:br w:type="page"/>
      </w:r>
    </w:p>
    <w:p>
      <w:pPr>
        <w:pStyle w:val="Heading1"/>
        <w:spacing w:after="200"/>
      </w:pPr>
      <w:r>
        <w:t xml:space="preserve">4. Data Models &amp; Schemas</w:t>
      </w:r>
    </w:p>
    <w:p>
      <w:pPr>
        <w:pStyle w:val="Heading2"/>
        <w:spacing w:after="160"/>
      </w:pPr>
      <w:r>
        <w:t xml:space="preserve">4.1 Core Entities</w:t>
      </w:r>
    </w:p>
    <w:p>
      <w:pPr>
        <w:spacing w:after="120"/>
      </w:pPr>
      <w:r>
        <w:rPr>
          <w:b/>
          <w:bCs/>
        </w:rPr>
        <w:t xml:space="preserve">Engagement</w:t>
      </w:r>
    </w:p>
    <w:p>
      <w:pPr>
        <w:pStyle w:val="ListParagraph"/>
        <w:numPr>
          <w:ilvl w:val="0"/>
          <w:numId w:val="2"/>
        </w:numPr>
        <w:spacing w:after="160"/>
      </w:pPr>
      <w:r>
        <w:t xml:space="preserve">id (UUID), client_id (FK), sector (enum), revenue_cr, fy, cfo_name, deployment_mode, created_at, current_opar_phase, completion_percent, started_at, scheduled_teardown_date, metadata (JSON)</w:t>
      </w:r>
    </w:p>
    <w:p>
      <w:pPr>
        <w:spacing w:after="120"/>
      </w:pPr>
      <w:r>
        <w:rPr>
          <w:b/>
          <w:bCs/>
        </w:rPr>
        <w:t xml:space="preserve">SpendLine</w:t>
      </w:r>
    </w:p>
    <w:p>
      <w:pPr>
        <w:pStyle w:val="ListParagraph"/>
        <w:numPr>
          <w:ilvl w:val="0"/>
          <w:numId w:val="2"/>
        </w:numPr>
        <w:spacing w:after="160"/>
      </w:pPr>
      <w:r>
        <w:t xml:space="preserve">id (UUID), engagement_id (FK), gl_code, vendor_id, pool_code, amount, fiscal_month, line_hash (tokenized), classification (B1|B2|B3|B4), classification_confidence, last_revalidated</w:t>
      </w:r>
    </w:p>
    <w:p>
      <w:pPr>
        <w:spacing w:after="120"/>
      </w:pPr>
      <w:r>
        <w:rPr>
          <w:b/>
          <w:bCs/>
        </w:rPr>
        <w:t xml:space="preserve">Initiative</w:t>
      </w:r>
    </w:p>
    <w:p>
      <w:pPr>
        <w:pStyle w:val="ListParagraph"/>
        <w:numPr>
          <w:ilvl w:val="0"/>
          <w:numId w:val="2"/>
        </w:numPr>
        <w:spacing w:after="160"/>
      </w:pPr>
      <w:r>
        <w:t xml:space="preserve">id (UUID), engagement_id (FK), title, description, owner, value_lever (enum), gross_savings_cr_low, gross_savings_cr_high, cost_to_achieve, payback_months, ebitda_bps, status (identified|prioritized|board_ready), quality_score (0-1), assumptions (JSON array), created_by_skill</w:t>
      </w:r>
    </w:p>
    <w:p>
      <w:pPr>
        <w:spacing w:after="120"/>
      </w:pPr>
      <w:r>
        <w:rPr>
          <w:b/>
          <w:bCs/>
        </w:rPr>
        <w:t xml:space="preserve">Assumption</w:t>
      </w:r>
    </w:p>
    <w:p>
      <w:pPr>
        <w:pStyle w:val="ListParagraph"/>
        <w:numPr>
          <w:ilvl w:val="0"/>
          <w:numId w:val="2"/>
        </w:numPr>
        <w:spacing w:after="160"/>
      </w:pPr>
      <w:r>
        <w:t xml:space="preserve">id (UUID), initiative_id (FK), name, source (estimate|peer_data|internal_benchmark|heuristic), range_low, range_high, source_confidence (0-1), owner_sign_off, validation_date, quality_score (0-1)</w:t>
      </w:r>
    </w:p>
    <w:p>
      <w:pPr>
        <w:spacing w:after="120"/>
      </w:pPr>
      <w:r>
        <w:rPr>
          <w:b/>
          <w:bCs/>
        </w:rPr>
        <w:t xml:space="preserve">Narrative</w:t>
      </w:r>
    </w:p>
    <w:p>
      <w:pPr>
        <w:pStyle w:val="ListParagraph"/>
        <w:numPr>
          <w:ilvl w:val="0"/>
          <w:numId w:val="2"/>
        </w:numPr>
        <w:spacing w:after="160"/>
      </w:pPr>
      <w:r>
        <w:t xml:space="preserve">id (UUID), engagement_id (FK), snapshot_hash, model_version, prompt_hash, seed, content (text), provenance_tags (JSON), generated_at, regeneration_count</w:t>
      </w:r>
    </w:p>
    <w:p>
      <w:pPr>
        <w:spacing w:after="120"/>
      </w:pPr>
      <w:r>
        <w:rPr>
          <w:b/>
          <w:bCs/>
        </w:rPr>
        <w:t xml:space="preserve">AuditLog</w:t>
      </w:r>
    </w:p>
    <w:p>
      <w:pPr>
        <w:pStyle w:val="ListParagraph"/>
        <w:numPr>
          <w:ilvl w:val="0"/>
          <w:numId w:val="2"/>
        </w:numPr>
        <w:spacing w:after="160"/>
      </w:pPr>
      <w:r>
        <w:t xml:space="preserve">id (UUID), engagement_id (FK), user_id (FK), action (ingest|skill_execute|assumption_change|narrative_generate|export|tear_down), resource_type, resource_id, timestamp, details (JSON), ip_address, outcome (success|failure)</w:t>
      </w:r>
    </w:p>
    <w:p>
      <w:pPr>
        <w:spacing w:after="240"/>
      </w:pPr>
      <w:r>
        <w:t xml:space="preserve"/>
      </w:r>
    </w:p>
    <w:p>
      <w:pPr>
        <w:pStyle w:val="Heading2"/>
        <w:spacing w:after="160"/>
      </w:pPr>
      <w:r>
        <w:t xml:space="preserve">4.2 Data Classification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340"/>
        <w:gridCol w:w="2340"/>
        <w:gridCol w:w="2808"/>
      </w:tblGrid>
      <w:tr>
        <w:tc>
          <w:tcPr>
            <w:tcW w:type="pct" w:w="100%"/>
            <w:tcBorders>
              <w:top w:val="single" w:color="999999" w:sz="1"/>
              <w:left w:val="single" w:color="999999" w:sz="1"/>
              <w:bottom w:val="single" w:color="999999" w:sz="1"/>
              <w:right w:val="single" w:color="999999" w:sz="1"/>
            </w:tcBorders>
            <w:shd w:fill="1F4E78" w:val="clear"/>
            <w:tcMar>
              <w:top w:type="dxa" w:w="80"/>
              <w:left w:type="dxa" w:w="120"/>
              <w:bottom w:type="dxa" w:w="80"/>
              <w:right w:type="dxa" w:w="120"/>
            </w:tcMar>
          </w:tcPr>
          <w:p>
            <w:pPr>
              <w:spacing w:line="240"/>
            </w:pPr>
            <w:r>
              <w:rPr>
                <w:b/>
                <w:bCs/>
              </w:rPr>
              <w:t xml:space="preserve">Level</w:t>
            </w:r>
          </w:p>
        </w:tc>
        <w:tc>
          <w:tcPr>
            <w:tcW w:type="pct" w:w="100%"/>
            <w:tcBorders>
              <w:top w:val="single" w:color="999999" w:sz="1"/>
              <w:left w:val="single" w:color="999999" w:sz="1"/>
              <w:bottom w:val="single" w:color="999999" w:sz="1"/>
              <w:right w:val="single" w:color="999999" w:sz="1"/>
            </w:tcBorders>
            <w:shd w:fill="1F4E78" w:val="clear"/>
            <w:tcMar>
              <w:top w:type="dxa" w:w="80"/>
              <w:left w:type="dxa" w:w="120"/>
              <w:bottom w:type="dxa" w:w="80"/>
              <w:right w:type="dxa" w:w="120"/>
            </w:tcMar>
          </w:tcPr>
          <w:p>
            <w:pPr>
              <w:spacing w:line="240"/>
            </w:pPr>
            <w:r>
              <w:rPr>
                <w:b/>
                <w:bCs/>
              </w:rPr>
              <w:t xml:space="preserve">Description</w:t>
            </w:r>
          </w:p>
        </w:tc>
        <w:tc>
          <w:tcPr>
            <w:tcW w:type="pct" w:w="100%"/>
            <w:tcBorders>
              <w:top w:val="single" w:color="999999" w:sz="1"/>
              <w:left w:val="single" w:color="999999" w:sz="1"/>
              <w:bottom w:val="single" w:color="999999" w:sz="1"/>
              <w:right w:val="single" w:color="999999" w:sz="1"/>
            </w:tcBorders>
            <w:shd w:fill="1F4E78" w:val="clear"/>
            <w:tcMar>
              <w:top w:type="dxa" w:w="80"/>
              <w:left w:type="dxa" w:w="120"/>
              <w:bottom w:type="dxa" w:w="80"/>
              <w:right w:type="dxa" w:w="120"/>
            </w:tcMar>
          </w:tcPr>
          <w:p>
            <w:pPr>
              <w:spacing w:line="240"/>
            </w:pPr>
            <w:r>
              <w:rPr>
                <w:b/>
                <w:bCs/>
              </w:rPr>
              <w:t xml:space="preserve">Example</w:t>
            </w:r>
          </w:p>
        </w:tc>
        <w:tc>
          <w:tcPr>
            <w:tcW w:type="pct" w:w="100%"/>
            <w:tcBorders>
              <w:top w:val="single" w:color="999999" w:sz="1"/>
              <w:left w:val="single" w:color="999999" w:sz="1"/>
              <w:bottom w:val="single" w:color="999999" w:sz="1"/>
              <w:right w:val="single" w:color="999999" w:sz="1"/>
            </w:tcBorders>
            <w:shd w:fill="1F4E78" w:val="clear"/>
            <w:tcMar>
              <w:top w:type="dxa" w:w="80"/>
              <w:left w:type="dxa" w:w="120"/>
              <w:bottom w:type="dxa" w:w="80"/>
              <w:right w:type="dxa" w:w="120"/>
            </w:tcMar>
          </w:tcPr>
          <w:p>
            <w:pPr>
              <w:spacing w:line="240"/>
            </w:pPr>
            <w:r>
              <w:rPr>
                <w:b/>
                <w:bCs/>
              </w:rPr>
              <w:t xml:space="preserve">Handling</w:t>
            </w:r>
          </w:p>
        </w:tc>
      </w:tr>
      <w:tr>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B1</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Public, already disclosed</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Total revenue, sector name</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No restriction, shareable</w:t>
            </w:r>
          </w:p>
        </w:tc>
      </w:tr>
      <w:tr>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B2</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Aggregated, ≥5 entities, k-anonymity met</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Spend by category (₹Cr), industry benchmark</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Reportable, CFO visible</w:t>
            </w:r>
          </w:p>
        </w:tc>
      </w:tr>
      <w:tr>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B3</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Sensitive aggregates, &lt;5 entities or inference risk</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Spend by vendor (3 vendors), branch-level detail</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Role-scoped, auditable only</w:t>
            </w:r>
          </w:p>
        </w:tc>
      </w:tr>
      <w:tr>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B4</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Direct PII, bank accounts, SSN, health data</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Employee names, account numbers, phone</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Tokenized, never in LLM, deleted at tear-down</w:t>
            </w:r>
          </w:p>
        </w:tc>
      </w:tr>
    </w:tbl>
    <w:p>
      <w:pPr>
        <w:spacing w:after="240"/>
      </w:pPr>
      <w:r>
        <w:t xml:space="preserve"/>
      </w:r>
    </w:p>
    <w:p>
      <w:pPr>
        <w:pStyle w:val="Heading2"/>
        <w:spacing w:after="160"/>
      </w:pPr>
      <w:r>
        <w:t xml:space="preserve">4.3 Relational Diagram (Text Reference)</w:t>
      </w:r>
    </w:p>
    <w:p>
      <w:pPr>
        <w:spacing w:after="160"/>
      </w:pPr>
      <w:r>
        <w:t xml:space="preserve">Engagement ──┬─→ SpendLine (n:1)</w:t>
      </w:r>
    </w:p>
    <w:p>
      <w:pPr>
        <w:spacing w:after="160"/>
      </w:pPr>
      <w:r>
        <w:t xml:space="preserve">            ├─→ Initiative (n:1)</w:t>
      </w:r>
    </w:p>
    <w:p>
      <w:pPr>
        <w:spacing w:after="160"/>
      </w:pPr>
      <w:r>
        <w:t xml:space="preserve">            ├─→ Narrative (n:1)</w:t>
      </w:r>
    </w:p>
    <w:p>
      <w:pPr>
        <w:spacing w:after="160"/>
      </w:pPr>
      <w:r>
        <w:t xml:space="preserve">            └─→ AuditLog (n:1)</w:t>
      </w:r>
    </w:p>
    <w:p>
      <w:pPr>
        <w:spacing w:after="160"/>
      </w:pPr>
      <w:r>
        <w:t xml:space="preserve"/>
      </w:r>
    </w:p>
    <w:p>
      <w:pPr>
        <w:spacing w:after="160"/>
      </w:pPr>
      <w:r>
        <w:t xml:space="preserve">Initiative ──→ Assumption (1:n)</w:t>
      </w:r>
    </w:p>
    <w:p>
      <w:r>
        <w:br w:type="page"/>
      </w:r>
    </w:p>
    <w:p>
      <w:pPr>
        <w:pStyle w:val="Heading1"/>
        <w:spacing w:after="200"/>
      </w:pPr>
      <w:r>
        <w:t xml:space="preserve">5. Algorithm Specifications</w:t>
      </w:r>
    </w:p>
    <w:p>
      <w:pPr>
        <w:pStyle w:val="Heading2"/>
        <w:spacing w:after="160"/>
      </w:pPr>
      <w:r>
        <w:t xml:space="preserve">5.1 OPAR Loop Algorithm (High-Level)</w:t>
      </w:r>
    </w:p>
    <w:p>
      <w:pPr>
        <w:spacing w:after="200"/>
      </w:pPr>
      <w:r>
        <w:t xml:space="preserve">The core engagement engine cycles through four phases every 2 weeks (gates at weeks 2, 4, 6, 8, 10, 12):</w:t>
      </w:r>
    </w:p>
    <w:p>
      <w:pPr>
        <w:pStyle w:val="ListParagraph"/>
        <w:numPr>
          <w:ilvl w:val="0"/>
          <w:numId w:val="3"/>
        </w:numPr>
        <w:spacing w:after="120"/>
      </w:pPr>
      <w:r>
        <w:rPr>
          <w:b/>
          <w:bCs/>
        </w:rPr>
        <w:t xml:space="preserve">OBSERVE Phase (Week 1--2): </w:t>
      </w:r>
      <w:r>
        <w:t xml:space="preserve">Ingest GL data → run PII classifier (continuous re-scan) → tokenize B3/B4 → load spend lines into PostgreSQL → compute spend aggregates (by vendor, category, business unit, gl_code) → cache top 100 aggregates in Redis</w:t>
      </w:r>
    </w:p>
    <w:p>
      <w:pPr>
        <w:pStyle w:val="ListParagraph"/>
        <w:numPr>
          <w:ilvl w:val="0"/>
          <w:numId w:val="3"/>
        </w:numPr>
        <w:spacing w:after="120"/>
      </w:pPr>
      <w:r>
        <w:rPr>
          <w:b/>
          <w:bCs/>
        </w:rPr>
        <w:t xml:space="preserve">PLAN Phase (Week 2--3): </w:t>
      </w:r>
      <w:r>
        <w:t xml:space="preserve">DAG Replanner evaluates: {peer_evidence_strength, top_opportunity_coverage, engagement_week_feasibility} → selects skill subset → generates skill execution DAG → gates on regulatory changes (GST, SEBI, RBI, sector events)</w:t>
      </w:r>
    </w:p>
    <w:p>
      <w:pPr>
        <w:pStyle w:val="ListParagraph"/>
        <w:numPr>
          <w:ilvl w:val="0"/>
          <w:numId w:val="3"/>
        </w:numPr>
        <w:spacing w:after="120"/>
      </w:pPr>
      <w:r>
        <w:rPr>
          <w:b/>
          <w:bCs/>
        </w:rPr>
        <w:t xml:space="preserve">ANALYZE Phase (Week 3--4+): </w:t>
      </w:r>
      <w:r>
        <w:t xml:space="preserve">Execute skill DAG in parallel where possible: peer-disclosure-miner (earnings calls, SEC filings), internal-benchmarker (historical trends, peer data), cost-pool-analyzer (GL decomposition), automation-opportunity-detector (RPA logic), root-cause-analyzer (variance forensics) → each skill outputs {initiatives[], evidence[], assumptions[]} → Claude API narrative synthesis (M2 default) or Llama (M1 on-prem)</w:t>
      </w:r>
    </w:p>
    <w:p>
      <w:pPr>
        <w:pStyle w:val="ListParagraph"/>
        <w:numPr>
          <w:ilvl w:val="0"/>
          <w:numId w:val="3"/>
        </w:numPr>
        <w:spacing w:after="120"/>
      </w:pPr>
      <w:r>
        <w:rPr>
          <w:b/>
          <w:bCs/>
        </w:rPr>
        <w:t xml:space="preserve">REFLECT Gate (Every 2 weeks): </w:t>
      </w:r>
      <w:r>
        <w:t xml:space="preserve">Assumption-quality enforcer: flag all assumptions with score &lt;0.65 → CFO override approval → narrative provenance: tag every sentence [data_slice][prompt_hash][model_version][seed] → snapshot store: encrypt for reproducibility → aggregate B3/B4 check: any metric with N&lt;5 re-classified to B3 → regulatory watcher: surface material in-engagement changes → cost-room live: render aggregates (cached, &lt;500ms filter for large-cap) → decision: continue, modify, or replan</w:t>
      </w:r>
    </w:p>
    <w:p>
      <w:pPr>
        <w:spacing w:after="240"/>
      </w:pPr>
      <w:r>
        <w:t xml:space="preserve"/>
      </w:r>
    </w:p>
    <w:p>
      <w:pPr>
        <w:pStyle w:val="Heading2"/>
        <w:spacing w:after="160"/>
      </w:pPr>
      <w:r>
        <w:t xml:space="preserve">5.2 DAG Replanner Algorithm</w:t>
      </w:r>
    </w:p>
    <w:p>
      <w:pPr>
        <w:spacing w:after="200"/>
      </w:pPr>
      <w:r>
        <w:t xml:space="preserve">At each REFLECT gate, replanner fires with objective function:</w:t>
      </w:r>
    </w:p>
    <w:p>
      <w:pPr>
        <w:spacing w:after="160"/>
      </w:pPr>
      <w:r>
        <w:t xml:space="preserve">score = (top_opportunity_coverage × 0.5) + (peer_evidence_strength × 0.3) + (engagement_week_feasibility × 0.2)</w:t>
      </w:r>
    </w:p>
    <w:p>
      <w:pPr>
        <w:pStyle w:val="ListParagraph"/>
        <w:numPr>
          <w:ilvl w:val="0"/>
          <w:numId w:val="2"/>
        </w:numPr>
        <w:spacing w:after="160"/>
      </w:pPr>
      <w:r>
        <w:rPr>
          <w:b/>
          <w:bCs/>
        </w:rPr>
        <w:t xml:space="preserve">Input: </w:t>
      </w:r>
      <w:r>
        <w:t xml:space="preserve">Current engagement phase, skill execution history, opportunity distribution, peer signal strength</w:t>
      </w:r>
    </w:p>
    <w:p>
      <w:pPr>
        <w:pStyle w:val="ListParagraph"/>
        <w:numPr>
          <w:ilvl w:val="0"/>
          <w:numId w:val="2"/>
        </w:numPr>
        <w:spacing w:after="160"/>
      </w:pPr>
      <w:r>
        <w:rPr>
          <w:b/>
          <w:bCs/>
        </w:rPr>
        <w:t xml:space="preserve">Decision rules: </w:t>
      </w:r>
      <w:r>
        <w:t xml:space="preserve">If peer_evidence &lt; threshold: route to internal-benchmarker only. If working-capital &gt; opex by &gt;2x: swap deep-dive cluster to WC path. If automation signal &gt;3σ: add RPA skill to next DAG.</w:t>
      </w:r>
    </w:p>
    <w:p>
      <w:pPr>
        <w:pStyle w:val="ListParagraph"/>
        <w:numPr>
          <w:ilvl w:val="0"/>
          <w:numId w:val="2"/>
        </w:numPr>
        <w:spacing w:after="160"/>
      </w:pPr>
      <w:r>
        <w:rPr>
          <w:b/>
          <w:bCs/>
        </w:rPr>
        <w:t xml:space="preserve">Output: </w:t>
      </w:r>
      <w:r>
        <w:t xml:space="preserve">Updated skill DAG, replan decision logged to audit trail</w:t>
      </w:r>
    </w:p>
    <w:p>
      <w:pPr>
        <w:spacing w:after="240"/>
      </w:pPr>
      <w:r>
        <w:t xml:space="preserve"/>
      </w:r>
    </w:p>
    <w:p>
      <w:pPr>
        <w:pStyle w:val="Heading2"/>
        <w:spacing w:after="160"/>
      </w:pPr>
      <w:r>
        <w:t xml:space="preserve">5.3 PII Classification Algorithm</w:t>
      </w:r>
    </w:p>
    <w:p>
      <w:pPr>
        <w:pStyle w:val="ListParagraph"/>
        <w:numPr>
          <w:ilvl w:val="0"/>
          <w:numId w:val="2"/>
        </w:numPr>
        <w:spacing w:after="160"/>
      </w:pPr>
      <w:r>
        <w:rPr>
          <w:b/>
          <w:bCs/>
        </w:rPr>
        <w:t xml:space="preserve">Phase 1 (Ingestion): </w:t>
      </w:r>
      <w:r>
        <w:t xml:space="preserve">Presidio NER + spaCy on GL narrations, vendor names, free-text fields → tag candidate B4 → tokenize (UUID-based hash) → store tokenmap in secure vault</w:t>
      </w:r>
    </w:p>
    <w:p>
      <w:pPr>
        <w:pStyle w:val="ListParagraph"/>
        <w:numPr>
          <w:ilvl w:val="0"/>
          <w:numId w:val="2"/>
        </w:numPr>
        <w:spacing w:after="160"/>
      </w:pPr>
      <w:r>
        <w:rPr>
          <w:b/>
          <w:bCs/>
        </w:rPr>
        <w:t xml:space="preserve">Phase 2 (Continuous re-scan): </w:t>
      </w:r>
      <w:r>
        <w:t xml:space="preserve">Every derived field (sums, joins, ML outputs): re-run classifier at derivation time → target recall 99.2% → quarantine high-confidence B4 (blocks promotion until manual confirmation)</w:t>
      </w:r>
    </w:p>
    <w:p>
      <w:pPr>
        <w:pStyle w:val="ListParagraph"/>
        <w:numPr>
          <w:ilvl w:val="0"/>
          <w:numId w:val="2"/>
        </w:numPr>
        <w:spacing w:after="160"/>
      </w:pPr>
      <w:r>
        <w:rPr>
          <w:b/>
          <w:bCs/>
        </w:rPr>
        <w:t xml:space="preserve">Phase 3 (K-anonymity gate): </w:t>
      </w:r>
      <w:r>
        <w:t xml:space="preserve">Any aggregate with N&lt;5 underlying entities → re-classify to B3 (even if source is B2) → inference-risk score per chart (measure re-identification difficulty) → charts with score&lt;50 tagged B3</w:t>
      </w:r>
    </w:p>
    <w:p>
      <w:pPr>
        <w:pStyle w:val="ListParagraph"/>
        <w:numPr>
          <w:ilvl w:val="0"/>
          <w:numId w:val="2"/>
        </w:numPr>
        <w:spacing w:after="160"/>
      </w:pPr>
      <w:r>
        <w:rPr>
          <w:b/>
          <w:bCs/>
        </w:rPr>
        <w:t xml:space="preserve">Phase 4 (Before narrative generation): </w:t>
      </w:r>
      <w:r>
        <w:t xml:space="preserve">LLM never sees a cell unless passed re-validation in current run → M2 receives B2-only context → M1 gets heavily masked/aggregated view</w:t>
      </w:r>
    </w:p>
    <w:p>
      <w:pPr>
        <w:spacing w:after="240"/>
      </w:pPr>
      <w:r>
        <w:t xml:space="preserve"/>
      </w:r>
    </w:p>
    <w:p>
      <w:pPr>
        <w:pStyle w:val="Heading2"/>
        <w:spacing w:after="160"/>
      </w:pPr>
      <w:r>
        <w:t xml:space="preserve">5.4 Assumption Quality Scoring</w:t>
      </w:r>
    </w:p>
    <w:p>
      <w:pPr>
        <w:spacing w:after="160"/>
      </w:pPr>
      <w:r>
        <w:t xml:space="preserve">AssumptionQualityScore ∈ [0, 1] computed from:</w:t>
      </w:r>
    </w:p>
    <w:p>
      <w:pPr>
        <w:spacing w:after="160"/>
      </w:pPr>
      <w:r>
        <w:t xml:space="preserve">score = (0.4 × source_class_confidence) + (0.3 × validation_recency) + (0.2 × owner_sign_off) + (0.1 × range_plausibility)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pct" w:w="100%"/>
            <w:tcBorders>
              <w:top w:val="single" w:color="999999" w:sz="1"/>
              <w:left w:val="single" w:color="999999" w:sz="1"/>
              <w:bottom w:val="single" w:color="999999" w:sz="1"/>
              <w:right w:val="single" w:color="999999" w:sz="1"/>
            </w:tcBorders>
            <w:shd w:fill="1F4E78" w:val="clear"/>
            <w:tcMar>
              <w:top w:type="dxa" w:w="80"/>
              <w:left w:type="dxa" w:w="120"/>
              <w:bottom w:type="dxa" w:w="80"/>
              <w:right w:type="dxa" w:w="120"/>
            </w:tcMar>
          </w:tcPr>
          <w:p>
            <w:pPr>
              <w:spacing w:line="240"/>
            </w:pPr>
            <w:r>
              <w:rPr>
                <w:b/>
                <w:bCs/>
              </w:rPr>
              <w:t xml:space="preserve">Component</w:t>
            </w:r>
          </w:p>
        </w:tc>
        <w:tc>
          <w:tcPr>
            <w:tcW w:type="pct" w:w="100%"/>
            <w:tcBorders>
              <w:top w:val="single" w:color="999999" w:sz="1"/>
              <w:left w:val="single" w:color="999999" w:sz="1"/>
              <w:bottom w:val="single" w:color="999999" w:sz="1"/>
              <w:right w:val="single" w:color="999999" w:sz="1"/>
            </w:tcBorders>
            <w:shd w:fill="1F4E78" w:val="clear"/>
            <w:tcMar>
              <w:top w:type="dxa" w:w="80"/>
              <w:left w:type="dxa" w:w="120"/>
              <w:bottom w:type="dxa" w:w="80"/>
              <w:right w:type="dxa" w:w="120"/>
            </w:tcMar>
          </w:tcPr>
          <w:p>
            <w:pPr>
              <w:spacing w:line="240"/>
            </w:pPr>
            <w:r>
              <w:rPr>
                <w:b/>
                <w:bCs/>
              </w:rPr>
              <w:t xml:space="preserve">Scoring</w:t>
            </w:r>
          </w:p>
        </w:tc>
        <w:tc>
          <w:tcPr>
            <w:tcW w:type="pct" w:w="100%"/>
            <w:tcBorders>
              <w:top w:val="single" w:color="999999" w:sz="1"/>
              <w:left w:val="single" w:color="999999" w:sz="1"/>
              <w:bottom w:val="single" w:color="999999" w:sz="1"/>
              <w:right w:val="single" w:color="999999" w:sz="1"/>
            </w:tcBorders>
            <w:shd w:fill="1F4E78" w:val="clear"/>
            <w:tcMar>
              <w:top w:type="dxa" w:w="80"/>
              <w:left w:type="dxa" w:w="120"/>
              <w:bottom w:type="dxa" w:w="80"/>
              <w:right w:type="dxa" w:w="120"/>
            </w:tcMar>
          </w:tcPr>
          <w:p>
            <w:pPr>
              <w:spacing w:line="240"/>
            </w:pPr>
            <w:r>
              <w:rPr>
                <w:b/>
                <w:bCs/>
              </w:rPr>
              <w:t xml:space="preserve">Example</w:t>
            </w:r>
          </w:p>
        </w:tc>
      </w:tr>
      <w:tr>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Source Class</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Peer data: 1.0, Internal historic: 0.8, Engagement estimate: 0.5, Heuristic: 0.3</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Peer benchmark = 1.0</w:t>
            </w:r>
          </w:p>
        </w:tc>
      </w:tr>
      <w:tr>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Validation Age</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&lt;1mo: 1.0, 1-3mo: 0.7, &gt;3mo: 0.4</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Updated last week = 1.0</w:t>
            </w:r>
          </w:p>
        </w:tc>
      </w:tr>
      <w:tr>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Owner Sign-off</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Explicit: 1.0, Implied: 0.5, Missing: 0</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CFO approved = 1.0</w:t>
            </w:r>
          </w:p>
        </w:tc>
      </w:tr>
      <w:tr>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Range Plausibility</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Range ≤ 2x peer dispersion: 1.0, 2-5x: 0.5, &gt;5x: 0</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±20% vs peer ±15% = 1.0</w:t>
            </w:r>
          </w:p>
        </w:tc>
      </w:tr>
    </w:tbl>
    <w:p>
      <w:pPr>
        <w:spacing w:after="160"/>
      </w:pPr>
      <w:r>
        <w:t xml:space="preserve"/>
      </w:r>
    </w:p>
    <w:p>
      <w:pPr>
        <w:spacing w:after="160"/>
      </w:pPr>
      <w:r>
        <w:t xml:space="preserve">Gate 2 Block Rule: Any assumption &lt;0.65 blocks initiative promotion unless CFO override. CFO brief surfaces all &lt;0.70.</w:t>
      </w:r>
    </w:p>
    <w:p>
      <w:pPr>
        <w:spacing w:after="240"/>
      </w:pPr>
      <w:r>
        <w:t xml:space="preserve"/>
      </w:r>
    </w:p>
    <w:p>
      <w:pPr>
        <w:pStyle w:val="Heading2"/>
        <w:spacing w:after="160"/>
      </w:pPr>
      <w:r>
        <w:t xml:space="preserve">5.5 Value Lever Calculation</w:t>
      </w:r>
    </w:p>
    <w:p>
      <w:pPr>
        <w:spacing w:after="160"/>
      </w:pPr>
      <w:r>
        <w:t xml:space="preserve">Gross Savings = Σ(lever_base × coverage × confidence × (1 - de_duplication_factor))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340"/>
        <w:gridCol w:w="2340"/>
        <w:gridCol w:w="2808"/>
      </w:tblGrid>
      <w:tr>
        <w:tc>
          <w:tcPr>
            <w:tcW w:type="pct" w:w="100%"/>
            <w:tcBorders>
              <w:top w:val="single" w:color="999999" w:sz="1"/>
              <w:left w:val="single" w:color="999999" w:sz="1"/>
              <w:bottom w:val="single" w:color="999999" w:sz="1"/>
              <w:right w:val="single" w:color="999999" w:sz="1"/>
            </w:tcBorders>
            <w:shd w:fill="1F4E78" w:val="clear"/>
            <w:tcMar>
              <w:top w:type="dxa" w:w="80"/>
              <w:left w:type="dxa" w:w="120"/>
              <w:bottom w:type="dxa" w:w="80"/>
              <w:right w:type="dxa" w:w="120"/>
            </w:tcMar>
          </w:tcPr>
          <w:p>
            <w:pPr>
              <w:spacing w:line="240"/>
            </w:pPr>
            <w:r>
              <w:rPr>
                <w:b/>
                <w:bCs/>
              </w:rPr>
              <w:t xml:space="preserve">Lever</w:t>
            </w:r>
          </w:p>
        </w:tc>
        <w:tc>
          <w:tcPr>
            <w:tcW w:type="pct" w:w="100%"/>
            <w:tcBorders>
              <w:top w:val="single" w:color="999999" w:sz="1"/>
              <w:left w:val="single" w:color="999999" w:sz="1"/>
              <w:bottom w:val="single" w:color="999999" w:sz="1"/>
              <w:right w:val="single" w:color="999999" w:sz="1"/>
            </w:tcBorders>
            <w:shd w:fill="1F4E78" w:val="clear"/>
            <w:tcMar>
              <w:top w:type="dxa" w:w="80"/>
              <w:left w:type="dxa" w:w="120"/>
              <w:bottom w:type="dxa" w:w="80"/>
              <w:right w:type="dxa" w:w="120"/>
            </w:tcMar>
          </w:tcPr>
          <w:p>
            <w:pPr>
              <w:spacing w:line="240"/>
            </w:pPr>
            <w:r>
              <w:rPr>
                <w:b/>
                <w:bCs/>
              </w:rPr>
              <w:t xml:space="preserve">Base Calc</w:t>
            </w:r>
          </w:p>
        </w:tc>
        <w:tc>
          <w:tcPr>
            <w:tcW w:type="pct" w:w="100%"/>
            <w:tcBorders>
              <w:top w:val="single" w:color="999999" w:sz="1"/>
              <w:left w:val="single" w:color="999999" w:sz="1"/>
              <w:bottom w:val="single" w:color="999999" w:sz="1"/>
              <w:right w:val="single" w:color="999999" w:sz="1"/>
            </w:tcBorders>
            <w:shd w:fill="1F4E78" w:val="clear"/>
            <w:tcMar>
              <w:top w:type="dxa" w:w="80"/>
              <w:left w:type="dxa" w:w="120"/>
              <w:bottom w:type="dxa" w:w="80"/>
              <w:right w:type="dxa" w:w="120"/>
            </w:tcMar>
          </w:tcPr>
          <w:p>
            <w:pPr>
              <w:spacing w:line="240"/>
            </w:pPr>
            <w:r>
              <w:rPr>
                <w:b/>
                <w:bCs/>
              </w:rPr>
              <w:t xml:space="preserve">Coverage</w:t>
            </w:r>
          </w:p>
        </w:tc>
        <w:tc>
          <w:tcPr>
            <w:tcW w:type="pct" w:w="100%"/>
            <w:tcBorders>
              <w:top w:val="single" w:color="999999" w:sz="1"/>
              <w:left w:val="single" w:color="999999" w:sz="1"/>
              <w:bottom w:val="single" w:color="999999" w:sz="1"/>
              <w:right w:val="single" w:color="999999" w:sz="1"/>
            </w:tcBorders>
            <w:shd w:fill="1F4E78" w:val="clear"/>
            <w:tcMar>
              <w:top w:type="dxa" w:w="80"/>
              <w:left w:type="dxa" w:w="120"/>
              <w:bottom w:type="dxa" w:w="80"/>
              <w:right w:type="dxa" w:w="120"/>
            </w:tcMar>
          </w:tcPr>
          <w:p>
            <w:pPr>
              <w:spacing w:line="240"/>
            </w:pPr>
            <w:r>
              <w:rPr>
                <w:b/>
                <w:bCs/>
              </w:rPr>
              <w:t xml:space="preserve">Confidence</w:t>
            </w:r>
          </w:p>
        </w:tc>
      </w:tr>
      <w:tr>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Peer Benchmarking</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Spend pool × (peer_median - client)</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Available peer data %, min 3 peers</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Peer recency: M1=25%, M2=85%, M3=50%</w:t>
            </w:r>
          </w:p>
        </w:tc>
      </w:tr>
      <w:tr>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Internal Bench</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Spend × (5yr avg - current)</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Historical data depth</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Data quality, outlier removal</w:t>
            </w:r>
          </w:p>
        </w:tc>
      </w:tr>
      <w:tr>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Heuristic</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Spend × heuristic rate</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Applicable pool %</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Heuristic maturity: Low/Mid/High</w:t>
            </w:r>
          </w:p>
        </w:tc>
      </w:tr>
      <w:tr>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Automation</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Spend × (1 - post-RPA cost ratio)</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Automatable transaction %</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RPA feasibility, uplift risk</w:t>
            </w:r>
          </w:p>
        </w:tc>
      </w:tr>
    </w:tbl>
    <w:p>
      <w:pPr>
        <w:spacing w:after="160"/>
      </w:pPr>
      <w:r>
        <w:t xml:space="preserve"/>
      </w:r>
    </w:p>
    <w:p>
      <w:pPr>
        <w:spacing w:after="160"/>
      </w:pPr>
      <w:r>
        <w:t xml:space="preserve">De-duplication: 0.6--0.8 factor applied where levers overlap (e.g., peer benchmark + automation on same pool).</w:t>
      </w:r>
    </w:p>
    <w:p>
      <w:r>
        <w:br w:type="page"/>
      </w:r>
    </w:p>
    <w:p>
      <w:pPr>
        <w:pStyle w:val="Heading1"/>
        <w:spacing w:after="200"/>
      </w:pPr>
      <w:r>
        <w:t xml:space="preserve">6. Technology Stack &amp; Implementation</w:t>
      </w:r>
    </w:p>
    <w:p>
      <w:pPr>
        <w:pStyle w:val="Heading2"/>
        <w:spacing w:after="160"/>
      </w:pPr>
      <w:r>
        <w:t xml:space="preserve">6.1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808"/>
        <w:gridCol w:w="2808"/>
        <w:gridCol w:w="1872"/>
      </w:tblGrid>
      <w:tr>
        <w:tc>
          <w:tcPr>
            <w:tcW w:type="pct" w:w="100%"/>
            <w:tcBorders>
              <w:top w:val="single" w:color="999999" w:sz="1"/>
              <w:left w:val="single" w:color="999999" w:sz="1"/>
              <w:bottom w:val="single" w:color="999999" w:sz="1"/>
              <w:right w:val="single" w:color="999999" w:sz="1"/>
            </w:tcBorders>
            <w:shd w:fill="1F4E78" w:val="clear"/>
            <w:tcMar>
              <w:top w:type="dxa" w:w="80"/>
              <w:left w:type="dxa" w:w="120"/>
              <w:bottom w:type="dxa" w:w="80"/>
              <w:right w:type="dxa" w:w="120"/>
            </w:tcMar>
          </w:tcPr>
          <w:p>
            <w:pPr>
              <w:spacing w:line="240"/>
            </w:pPr>
            <w:r>
              <w:rPr>
                <w:b/>
                <w:bCs/>
              </w:rPr>
              <w:t xml:space="preserve">Layer</w:t>
            </w:r>
          </w:p>
        </w:tc>
        <w:tc>
          <w:tcPr>
            <w:tcW w:type="pct" w:w="100%"/>
            <w:tcBorders>
              <w:top w:val="single" w:color="999999" w:sz="1"/>
              <w:left w:val="single" w:color="999999" w:sz="1"/>
              <w:bottom w:val="single" w:color="999999" w:sz="1"/>
              <w:right w:val="single" w:color="999999" w:sz="1"/>
            </w:tcBorders>
            <w:shd w:fill="1F4E78" w:val="clear"/>
            <w:tcMar>
              <w:top w:type="dxa" w:w="80"/>
              <w:left w:type="dxa" w:w="120"/>
              <w:bottom w:type="dxa" w:w="80"/>
              <w:right w:type="dxa" w:w="120"/>
            </w:tcMar>
          </w:tcPr>
          <w:p>
            <w:pPr>
              <w:spacing w:line="240"/>
            </w:pPr>
            <w:r>
              <w:rPr>
                <w:b/>
                <w:bCs/>
              </w:rPr>
              <w:t xml:space="preserve">Component</w:t>
            </w:r>
          </w:p>
        </w:tc>
        <w:tc>
          <w:tcPr>
            <w:tcW w:type="pct" w:w="100%"/>
            <w:tcBorders>
              <w:top w:val="single" w:color="999999" w:sz="1"/>
              <w:left w:val="single" w:color="999999" w:sz="1"/>
              <w:bottom w:val="single" w:color="999999" w:sz="1"/>
              <w:right w:val="single" w:color="999999" w:sz="1"/>
            </w:tcBorders>
            <w:shd w:fill="1F4E78" w:val="clear"/>
            <w:tcMar>
              <w:top w:type="dxa" w:w="80"/>
              <w:left w:type="dxa" w:w="120"/>
              <w:bottom w:type="dxa" w:w="80"/>
              <w:right w:type="dxa" w:w="120"/>
            </w:tcMar>
          </w:tcPr>
          <w:p>
            <w:pPr>
              <w:spacing w:line="240"/>
            </w:pPr>
            <w:r>
              <w:rPr>
                <w:b/>
                <w:bCs/>
              </w:rPr>
              <w:t xml:space="preserve">Rationale</w:t>
            </w:r>
          </w:p>
        </w:tc>
        <w:tc>
          <w:tcPr>
            <w:tcW w:type="pct" w:w="100%"/>
            <w:tcBorders>
              <w:top w:val="single" w:color="999999" w:sz="1"/>
              <w:left w:val="single" w:color="999999" w:sz="1"/>
              <w:bottom w:val="single" w:color="999999" w:sz="1"/>
              <w:right w:val="single" w:color="999999" w:sz="1"/>
            </w:tcBorders>
            <w:shd w:fill="1F4E78" w:val="clear"/>
            <w:tcMar>
              <w:top w:type="dxa" w:w="80"/>
              <w:left w:type="dxa" w:w="120"/>
              <w:bottom w:type="dxa" w:w="80"/>
              <w:right w:type="dxa" w:w="120"/>
            </w:tcMar>
          </w:tcPr>
          <w:p>
            <w:pPr>
              <w:spacing w:line="240"/>
            </w:pPr>
            <w:r>
              <w:rPr>
                <w:b/>
                <w:bCs/>
              </w:rPr>
              <w:t xml:space="preserve">Version</w:t>
            </w:r>
          </w:p>
        </w:tc>
      </w:tr>
      <w:tr>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Backend</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Python 3.11 + FastAPI</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Scientific computing, LLM integration, rapid iteration</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3.11+</w:t>
            </w:r>
          </w:p>
        </w:tc>
      </w:tr>
      <w:tr>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Database (Transactional)</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PostgreSQL 15 + jsonb</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ACID compliance, complex queries, metadata storage</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15+</w:t>
            </w:r>
          </w:p>
        </w:tc>
      </w:tr>
      <w:tr>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Cache/Session</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Redis 7.0</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Cost-room query cache (&lt;500ms), distributed locks</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7.0+</w:t>
            </w:r>
          </w:p>
        </w:tc>
      </w:tr>
      <w:tr>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Batch Processing</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Apache Spark 3.4 (PySpark)</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Large-scale aggregations (5M--20M lines), Spark SQL</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3.4+</w:t>
            </w:r>
          </w:p>
        </w:tc>
      </w:tr>
      <w:tr>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LLM Integration</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Claude API (M2) or Llama 2 (M1)</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Narrative synthesis, prompt engineering, cost tracking</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Latest</w:t>
            </w:r>
          </w:p>
        </w:tc>
      </w:tr>
      <w:tr>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PII Detection</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Presidio + spaCy (Indian NER)</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Continuous B4 classification, name/number NER</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Latest</w:t>
            </w:r>
          </w:p>
        </w:tc>
      </w:tr>
      <w:tr>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Frontend</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React 18 + TypeScript + Tanstack Query</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Cost room, dashboards, role-based views</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18+</w:t>
            </w:r>
          </w:p>
        </w:tc>
      </w:tr>
      <w:tr>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API</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REST (FastAPI) + GraphQL optional</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Cost-room queries benefit from GraphQL filtering</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Latest</w:t>
            </w:r>
          </w:p>
        </w:tc>
      </w:tr>
      <w:tr>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Artifact Vault</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S3-compatible (AWS, Minio on-prem)</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Encrypted narrative snapshots, audit logs</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Latest</w:t>
            </w:r>
          </w:p>
        </w:tc>
      </w:tr>
      <w:tr>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Containerization</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Docker + Kubernetes (or Docker Swarm on-prem)</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Multi-tenant isolation, auto-scaling</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K8s 1.27+</w:t>
            </w:r>
          </w:p>
        </w:tc>
      </w:tr>
    </w:tbl>
    <w:p>
      <w:pPr>
        <w:spacing w:after="240"/>
      </w:pPr>
      <w:r>
        <w:t xml:space="preserve"/>
      </w:r>
    </w:p>
    <w:p>
      <w:pPr>
        <w:pStyle w:val="Heading2"/>
        <w:spacing w:after="160"/>
      </w:pPr>
      <w:r>
        <w:t xml:space="preserve">6.2 Key Libraries &amp; Frameworks</w:t>
      </w:r>
    </w:p>
    <w:p>
      <w:pPr>
        <w:pStyle w:val="ListParagraph"/>
        <w:numPr>
          <w:ilvl w:val="0"/>
          <w:numId w:val="2"/>
        </w:numPr>
        <w:spacing w:after="160"/>
      </w:pPr>
      <w:r>
        <w:t xml:space="preserve">Data Processing: pandas, numpy, scikit-learn</w:t>
      </w:r>
    </w:p>
    <w:p>
      <w:pPr>
        <w:pStyle w:val="ListParagraph"/>
        <w:numPr>
          <w:ilvl w:val="0"/>
          <w:numId w:val="2"/>
        </w:numPr>
        <w:spacing w:after="160"/>
      </w:pPr>
      <w:r>
        <w:t xml:space="preserve">PII &amp; NER: presidio-analyzer, spacy (Indian model)</w:t>
      </w:r>
    </w:p>
    <w:p>
      <w:pPr>
        <w:pStyle w:val="ListParagraph"/>
        <w:numPr>
          <w:ilvl w:val="0"/>
          <w:numId w:val="2"/>
        </w:numPr>
        <w:spacing w:after="160"/>
      </w:pPr>
      <w:r>
        <w:t xml:space="preserve">LLM: anthropic-sdk (Claude) or ollama (Llama)</w:t>
      </w:r>
    </w:p>
    <w:p>
      <w:pPr>
        <w:pStyle w:val="ListParagraph"/>
        <w:numPr>
          <w:ilvl w:val="0"/>
          <w:numId w:val="2"/>
        </w:numPr>
        <w:spacing w:after="160"/>
      </w:pPr>
      <w:r>
        <w:t xml:space="preserve">API: pydantic (validation), sqlalchemy (ORM), alembic (migrations)</w:t>
      </w:r>
    </w:p>
    <w:p>
      <w:pPr>
        <w:pStyle w:val="ListParagraph"/>
        <w:numPr>
          <w:ilvl w:val="0"/>
          <w:numId w:val="2"/>
        </w:numPr>
        <w:spacing w:after="160"/>
      </w:pPr>
      <w:r>
        <w:t xml:space="preserve">Logging &amp; Audit: structlog, python-json-logger</w:t>
      </w:r>
    </w:p>
    <w:p>
      <w:pPr>
        <w:pStyle w:val="ListParagraph"/>
        <w:numPr>
          <w:ilvl w:val="0"/>
          <w:numId w:val="2"/>
        </w:numPr>
        <w:spacing w:after="160"/>
      </w:pPr>
      <w:r>
        <w:t xml:space="preserve">Task Orchestration: Celery + Redis or Airflow</w:t>
      </w:r>
    </w:p>
    <w:p>
      <w:pPr>
        <w:pStyle w:val="ListParagraph"/>
        <w:numPr>
          <w:ilvl w:val="0"/>
          <w:numId w:val="2"/>
        </w:numPr>
        <w:spacing w:after="160"/>
      </w:pPr>
      <w:r>
        <w:t xml:space="preserve">Encryption: cryptography, PyJWT</w:t>
      </w:r>
    </w:p>
    <w:p>
      <w:r>
        <w:br w:type="page"/>
      </w:r>
    </w:p>
    <w:p>
      <w:pPr>
        <w:pStyle w:val="Heading1"/>
        <w:spacing w:after="200"/>
      </w:pPr>
      <w:r>
        <w:t xml:space="preserve">7. Deployment Architecture &amp; Configuration</w:t>
      </w:r>
    </w:p>
    <w:p>
      <w:pPr>
        <w:pStyle w:val="Heading2"/>
        <w:spacing w:after="160"/>
      </w:pPr>
      <w:r>
        <w:t xml:space="preserve">7.1 Deployment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808"/>
        <w:gridCol w:w="2808"/>
        <w:gridCol w:w="1872"/>
      </w:tblGrid>
      <w:tr>
        <w:tc>
          <w:tcPr>
            <w:tcW w:type="pct" w:w="100%"/>
            <w:tcBorders>
              <w:top w:val="single" w:color="999999" w:sz="1"/>
              <w:left w:val="single" w:color="999999" w:sz="1"/>
              <w:bottom w:val="single" w:color="999999" w:sz="1"/>
              <w:right w:val="single" w:color="999999" w:sz="1"/>
            </w:tcBorders>
            <w:shd w:fill="1F4E78" w:val="clear"/>
            <w:tcMar>
              <w:top w:type="dxa" w:w="80"/>
              <w:left w:type="dxa" w:w="120"/>
              <w:bottom w:type="dxa" w:w="80"/>
              <w:right w:type="dxa" w:w="120"/>
            </w:tcMar>
          </w:tcPr>
          <w:p>
            <w:pPr>
              <w:spacing w:line="240"/>
            </w:pPr>
            <w:r>
              <w:rPr>
                <w:b/>
                <w:bCs/>
              </w:rPr>
              <w:t xml:space="preserve">Mode</w:t>
            </w:r>
          </w:p>
        </w:tc>
        <w:tc>
          <w:tcPr>
            <w:tcW w:type="pct" w:w="100%"/>
            <w:tcBorders>
              <w:top w:val="single" w:color="999999" w:sz="1"/>
              <w:left w:val="single" w:color="999999" w:sz="1"/>
              <w:bottom w:val="single" w:color="999999" w:sz="1"/>
              <w:right w:val="single" w:color="999999" w:sz="1"/>
            </w:tcBorders>
            <w:shd w:fill="1F4E78" w:val="clear"/>
            <w:tcMar>
              <w:top w:type="dxa" w:w="80"/>
              <w:left w:type="dxa" w:w="120"/>
              <w:bottom w:type="dxa" w:w="80"/>
              <w:right w:type="dxa" w:w="120"/>
            </w:tcMar>
          </w:tcPr>
          <w:p>
            <w:pPr>
              <w:spacing w:line="240"/>
            </w:pPr>
            <w:r>
              <w:rPr>
                <w:b/>
                <w:bCs/>
              </w:rPr>
              <w:t xml:space="preserve">Infrastructure</w:t>
            </w:r>
          </w:p>
        </w:tc>
        <w:tc>
          <w:tcPr>
            <w:tcW w:type="pct" w:w="100%"/>
            <w:tcBorders>
              <w:top w:val="single" w:color="999999" w:sz="1"/>
              <w:left w:val="single" w:color="999999" w:sz="1"/>
              <w:bottom w:val="single" w:color="999999" w:sz="1"/>
              <w:right w:val="single" w:color="999999" w:sz="1"/>
            </w:tcBorders>
            <w:shd w:fill="1F4E78" w:val="clear"/>
            <w:tcMar>
              <w:top w:type="dxa" w:w="80"/>
              <w:left w:type="dxa" w:w="120"/>
              <w:bottom w:type="dxa" w:w="80"/>
              <w:right w:type="dxa" w:w="120"/>
            </w:tcMar>
          </w:tcPr>
          <w:p>
            <w:pPr>
              <w:spacing w:line="240"/>
            </w:pPr>
            <w:r>
              <w:rPr>
                <w:b/>
                <w:bCs/>
              </w:rPr>
              <w:t xml:space="preserve">Data Sovereignty</w:t>
            </w:r>
          </w:p>
        </w:tc>
        <w:tc>
          <w:tcPr>
            <w:tcW w:type="pct" w:w="100%"/>
            <w:tcBorders>
              <w:top w:val="single" w:color="999999" w:sz="1"/>
              <w:left w:val="single" w:color="999999" w:sz="1"/>
              <w:bottom w:val="single" w:color="999999" w:sz="1"/>
              <w:right w:val="single" w:color="999999" w:sz="1"/>
            </w:tcBorders>
            <w:shd w:fill="1F4E78" w:val="clear"/>
            <w:tcMar>
              <w:top w:type="dxa" w:w="80"/>
              <w:left w:type="dxa" w:w="120"/>
              <w:bottom w:type="dxa" w:w="80"/>
              <w:right w:type="dxa" w:w="120"/>
            </w:tcMar>
          </w:tcPr>
          <w:p>
            <w:pPr>
              <w:spacing w:line="240"/>
            </w:pPr>
            <w:r>
              <w:rPr>
                <w:b/>
                <w:bCs/>
              </w:rPr>
              <w:t xml:space="preserve">Tier</w:t>
            </w:r>
          </w:p>
        </w:tc>
      </w:tr>
      <w:tr>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VPC (Default)</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Client AWS/Azure/GCP account (India region, client-managed)</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Data never leaves client perimeter, client controls backups</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Enterprise</w:t>
            </w:r>
          </w:p>
        </w:tc>
      </w:tr>
      <w:tr>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On-Premise</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Client data center (Docker Swarm or K8s on-prem)</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Full client control, air-gapped option available</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Enterprise</w:t>
            </w:r>
          </w:p>
        </w:tc>
      </w:tr>
      <w:tr>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Managed Cloud</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Advisor-managed multi-tenant Kubernetes (dedicated namespace)</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Encrypted data at rest, network isolation, advisor backup</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Mid-Market</w:t>
            </w:r>
          </w:p>
        </w:tc>
      </w:tr>
    </w:tbl>
    <w:p>
      <w:pPr>
        <w:spacing w:after="240"/>
      </w:pPr>
      <w:r>
        <w:t xml:space="preserve"/>
      </w:r>
    </w:p>
    <w:p>
      <w:pPr>
        <w:pStyle w:val="Heading2"/>
        <w:spacing w:after="160"/>
      </w:pPr>
      <w:r>
        <w:t xml:space="preserve">7.2 Resource Requirements (Mid-Cap: ₹2k--15k Cr)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2340"/>
        <w:gridCol w:w="2340"/>
        <w:gridCol w:w="1872"/>
      </w:tblGrid>
      <w:tr>
        <w:tc>
          <w:tcPr>
            <w:tcW w:type="pct" w:w="100%"/>
            <w:tcBorders>
              <w:top w:val="single" w:color="999999" w:sz="1"/>
              <w:left w:val="single" w:color="999999" w:sz="1"/>
              <w:bottom w:val="single" w:color="999999" w:sz="1"/>
              <w:right w:val="single" w:color="999999" w:sz="1"/>
            </w:tcBorders>
            <w:shd w:fill="1F4E78" w:val="clear"/>
            <w:tcMar>
              <w:top w:type="dxa" w:w="80"/>
              <w:left w:type="dxa" w:w="120"/>
              <w:bottom w:type="dxa" w:w="80"/>
              <w:right w:type="dxa" w:w="120"/>
            </w:tcMar>
          </w:tcPr>
          <w:p>
            <w:pPr>
              <w:spacing w:line="240"/>
            </w:pPr>
            <w:r>
              <w:rPr>
                <w:b/>
                <w:bCs/>
              </w:rPr>
              <w:t xml:space="preserve">Component</w:t>
            </w:r>
          </w:p>
        </w:tc>
        <w:tc>
          <w:tcPr>
            <w:tcW w:type="pct" w:w="100%"/>
            <w:tcBorders>
              <w:top w:val="single" w:color="999999" w:sz="1"/>
              <w:left w:val="single" w:color="999999" w:sz="1"/>
              <w:bottom w:val="single" w:color="999999" w:sz="1"/>
              <w:right w:val="single" w:color="999999" w:sz="1"/>
            </w:tcBorders>
            <w:shd w:fill="1F4E78" w:val="clear"/>
            <w:tcMar>
              <w:top w:type="dxa" w:w="80"/>
              <w:left w:type="dxa" w:w="120"/>
              <w:bottom w:type="dxa" w:w="80"/>
              <w:right w:type="dxa" w:w="120"/>
            </w:tcMar>
          </w:tcPr>
          <w:p>
            <w:pPr>
              <w:spacing w:line="240"/>
            </w:pPr>
            <w:r>
              <w:rPr>
                <w:b/>
                <w:bCs/>
              </w:rPr>
              <w:t xml:space="preserve">CPU</w:t>
            </w:r>
          </w:p>
        </w:tc>
        <w:tc>
          <w:tcPr>
            <w:tcW w:type="pct" w:w="100%"/>
            <w:tcBorders>
              <w:top w:val="single" w:color="999999" w:sz="1"/>
              <w:left w:val="single" w:color="999999" w:sz="1"/>
              <w:bottom w:val="single" w:color="999999" w:sz="1"/>
              <w:right w:val="single" w:color="999999" w:sz="1"/>
            </w:tcBorders>
            <w:shd w:fill="1F4E78" w:val="clear"/>
            <w:tcMar>
              <w:top w:type="dxa" w:w="80"/>
              <w:left w:type="dxa" w:w="120"/>
              <w:bottom w:type="dxa" w:w="80"/>
              <w:right w:type="dxa" w:w="120"/>
            </w:tcMar>
          </w:tcPr>
          <w:p>
            <w:pPr>
              <w:spacing w:line="240"/>
            </w:pPr>
            <w:r>
              <w:rPr>
                <w:b/>
                <w:bCs/>
              </w:rPr>
              <w:t xml:space="preserve">Memory</w:t>
            </w:r>
          </w:p>
        </w:tc>
        <w:tc>
          <w:tcPr>
            <w:tcW w:type="pct" w:w="100%"/>
            <w:tcBorders>
              <w:top w:val="single" w:color="999999" w:sz="1"/>
              <w:left w:val="single" w:color="999999" w:sz="1"/>
              <w:bottom w:val="single" w:color="999999" w:sz="1"/>
              <w:right w:val="single" w:color="999999" w:sz="1"/>
            </w:tcBorders>
            <w:shd w:fill="1F4E78" w:val="clear"/>
            <w:tcMar>
              <w:top w:type="dxa" w:w="80"/>
              <w:left w:type="dxa" w:w="120"/>
              <w:bottom w:type="dxa" w:w="80"/>
              <w:right w:type="dxa" w:w="120"/>
            </w:tcMar>
          </w:tcPr>
          <w:p>
            <w:pPr>
              <w:spacing w:line="240"/>
            </w:pPr>
            <w:r>
              <w:rPr>
                <w:b/>
                <w:bCs/>
              </w:rPr>
              <w:t xml:space="preserve">Storage</w:t>
            </w:r>
          </w:p>
        </w:tc>
      </w:tr>
      <w:tr>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FastAPI Pod (3 replicas)</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2 cores ea</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4 GB ea</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20 GB (logs)</w:t>
            </w:r>
          </w:p>
        </w:tc>
      </w:tr>
      <w:tr>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PostgreSQL</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4 cores</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16 GB</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500 GB (100k spend lines)</w:t>
            </w:r>
          </w:p>
        </w:tc>
      </w:tr>
      <w:tr>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Redis</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1 core</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8 GB</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20 GB (cache + sessions)</w:t>
            </w:r>
          </w:p>
        </w:tc>
      </w:tr>
      <w:tr>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Spark Worker (2 nodes)</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4 cores ea</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8 GB ea</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100 GB ea (temp)</w:t>
            </w:r>
          </w:p>
        </w:tc>
      </w:tr>
      <w:tr>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S3/Artifact Storage</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200 GB (narratives, snapshots)</w:t>
            </w:r>
          </w:p>
        </w:tc>
      </w:tr>
    </w:tbl>
    <w:p>
      <w:pPr>
        <w:spacing w:after="160"/>
      </w:pPr>
      <w:r>
        <w:t xml:space="preserve"/>
      </w:r>
    </w:p>
    <w:p>
      <w:pPr>
        <w:spacing w:after="160"/>
      </w:pPr>
      <w:r>
        <w:t xml:space="preserve">Large-cap (₹15k--50k Cr): 2x--3x resources. Conglomerate (₹50k+ Cr): 4x--6x + materialized aggregates.</w:t>
      </w:r>
    </w:p>
    <w:p>
      <w:pPr>
        <w:spacing w:after="240"/>
      </w:pPr>
      <w:r>
        <w:t xml:space="preserve"/>
      </w:r>
    </w:p>
    <w:p>
      <w:pPr>
        <w:pStyle w:val="Heading2"/>
        <w:spacing w:after="160"/>
      </w:pPr>
      <w:r>
        <w:t xml:space="preserve">7.3 Scaling Tiers &amp; SLOs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pct" w:w="100%"/>
            <w:tcBorders>
              <w:top w:val="single" w:color="999999" w:sz="1"/>
              <w:left w:val="single" w:color="999999" w:sz="1"/>
              <w:bottom w:val="single" w:color="999999" w:sz="1"/>
              <w:right w:val="single" w:color="999999" w:sz="1"/>
            </w:tcBorders>
            <w:shd w:fill="1F4E78" w:val="clear"/>
            <w:tcMar>
              <w:top w:type="dxa" w:w="80"/>
              <w:left w:type="dxa" w:w="120"/>
              <w:bottom w:type="dxa" w:w="80"/>
              <w:right w:type="dxa" w:w="120"/>
            </w:tcMar>
          </w:tcPr>
          <w:p>
            <w:pPr>
              <w:spacing w:line="240"/>
            </w:pPr>
            <w:r>
              <w:rPr>
                <w:b/>
                <w:bCs/>
              </w:rPr>
              <w:t xml:space="preserve">Tier</w:t>
            </w:r>
          </w:p>
        </w:tc>
        <w:tc>
          <w:tcPr>
            <w:tcW w:type="pct" w:w="100%"/>
            <w:tcBorders>
              <w:top w:val="single" w:color="999999" w:sz="1"/>
              <w:left w:val="single" w:color="999999" w:sz="1"/>
              <w:bottom w:val="single" w:color="999999" w:sz="1"/>
              <w:right w:val="single" w:color="999999" w:sz="1"/>
            </w:tcBorders>
            <w:shd w:fill="1F4E78" w:val="clear"/>
            <w:tcMar>
              <w:top w:type="dxa" w:w="80"/>
              <w:left w:type="dxa" w:w="120"/>
              <w:bottom w:type="dxa" w:w="80"/>
              <w:right w:type="dxa" w:w="120"/>
            </w:tcMar>
          </w:tcPr>
          <w:p>
            <w:pPr>
              <w:spacing w:line="240"/>
            </w:pPr>
            <w:r>
              <w:rPr>
                <w:b/>
                <w:bCs/>
              </w:rPr>
              <w:t xml:space="preserve">GL Lines</w:t>
            </w:r>
          </w:p>
        </w:tc>
        <w:tc>
          <w:tcPr>
            <w:tcW w:type="pct" w:w="100%"/>
            <w:tcBorders>
              <w:top w:val="single" w:color="999999" w:sz="1"/>
              <w:left w:val="single" w:color="999999" w:sz="1"/>
              <w:bottom w:val="single" w:color="999999" w:sz="1"/>
              <w:right w:val="single" w:color="999999" w:sz="1"/>
            </w:tcBorders>
            <w:shd w:fill="1F4E78" w:val="clear"/>
            <w:tcMar>
              <w:top w:type="dxa" w:w="80"/>
              <w:left w:type="dxa" w:w="120"/>
              <w:bottom w:type="dxa" w:w="80"/>
              <w:right w:type="dxa" w:w="120"/>
            </w:tcMar>
          </w:tcPr>
          <w:p>
            <w:pPr>
              <w:spacing w:line="240"/>
            </w:pPr>
            <w:r>
              <w:rPr>
                <w:b/>
                <w:bCs/>
              </w:rPr>
              <w:t xml:space="preserve">Ingestion</w:t>
            </w:r>
          </w:p>
        </w:tc>
        <w:tc>
          <w:tcPr>
            <w:tcW w:type="pct" w:w="100%"/>
            <w:tcBorders>
              <w:top w:val="single" w:color="999999" w:sz="1"/>
              <w:left w:val="single" w:color="999999" w:sz="1"/>
              <w:bottom w:val="single" w:color="999999" w:sz="1"/>
              <w:right w:val="single" w:color="999999" w:sz="1"/>
            </w:tcBorders>
            <w:shd w:fill="1F4E78" w:val="clear"/>
            <w:tcMar>
              <w:top w:type="dxa" w:w="80"/>
              <w:left w:type="dxa" w:w="120"/>
              <w:bottom w:type="dxa" w:w="80"/>
              <w:right w:type="dxa" w:w="120"/>
            </w:tcMar>
          </w:tcPr>
          <w:p>
            <w:pPr>
              <w:spacing w:line="240"/>
            </w:pPr>
            <w:r>
              <w:rPr>
                <w:b/>
                <w:bCs/>
              </w:rPr>
              <w:t xml:space="preserve">Cost-Room Filter</w:t>
            </w:r>
          </w:p>
        </w:tc>
        <w:tc>
          <w:tcPr>
            <w:tcW w:type="pct" w:w="100%"/>
            <w:tcBorders>
              <w:top w:val="single" w:color="999999" w:sz="1"/>
              <w:left w:val="single" w:color="999999" w:sz="1"/>
              <w:bottom w:val="single" w:color="999999" w:sz="1"/>
              <w:right w:val="single" w:color="999999" w:sz="1"/>
            </w:tcBorders>
            <w:shd w:fill="1F4E78" w:val="clear"/>
            <w:tcMar>
              <w:top w:type="dxa" w:w="80"/>
              <w:left w:type="dxa" w:w="120"/>
              <w:bottom w:type="dxa" w:w="80"/>
              <w:right w:type="dxa" w:w="120"/>
            </w:tcMar>
          </w:tcPr>
          <w:p>
            <w:pPr>
              <w:spacing w:line="240"/>
            </w:pPr>
            <w:r>
              <w:rPr>
                <w:b/>
                <w:bCs/>
              </w:rPr>
              <w:t xml:space="preserve">Caching</w:t>
            </w:r>
          </w:p>
        </w:tc>
      </w:tr>
      <w:tr>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Mid-Cap</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&lt;500k</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&lt;1s</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&lt;500ms</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Redis</w:t>
            </w:r>
          </w:p>
        </w:tc>
      </w:tr>
      <w:tr>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Large-Cap</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500k--5M</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&lt;30s</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&lt;200ms (cached)</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Redis + Spark</w:t>
            </w:r>
          </w:p>
        </w:tc>
      </w:tr>
      <w:tr>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Conglomerate</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5M--20M+</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&lt;120s</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&lt;100ms (materialized)</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Spark materialized views</w:t>
            </w:r>
          </w:p>
        </w:tc>
      </w:tr>
    </w:tbl>
    <w:p>
      <w:pPr>
        <w:spacing w:after="160"/>
      </w:pPr>
      <w:r>
        <w:t xml:space="preserve"/>
      </w:r>
    </w:p>
    <w:p>
      <w:pPr>
        <w:spacing w:after="160"/>
      </w:pPr>
      <w:r>
        <w:t xml:space="preserve">Performance benchmarking runs every release; deployment blocked if SLO not met.</w:t>
      </w:r>
    </w:p>
    <w:p>
      <w:pPr>
        <w:spacing w:after="240"/>
      </w:pPr>
      <w:r>
        <w:t xml:space="preserve"/>
      </w:r>
    </w:p>
    <w:p>
      <w:pPr>
        <w:pStyle w:val="Heading2"/>
        <w:spacing w:after="160"/>
      </w:pPr>
      <w:r>
        <w:t xml:space="preserve">7.4 Configuration Management</w:t>
      </w:r>
    </w:p>
    <w:p>
      <w:pPr>
        <w:pStyle w:val="ListParagraph"/>
        <w:numPr>
          <w:ilvl w:val="0"/>
          <w:numId w:val="2"/>
        </w:numPr>
        <w:spacing w:after="160"/>
      </w:pPr>
      <w:r>
        <w:rPr>
          <w:b/>
          <w:bCs/>
        </w:rPr>
        <w:t xml:space="preserve">Environment Files: </w:t>
      </w:r>
      <w:r>
        <w:t xml:space="preserve">.env per deployment (VPC | OnPrem | Managed) containing: DB_URL, REDIS_URL, S3_BUCKET, CLAUDE_API_KEY, LLM_MODE (M1|M2|M3), DEPLOYMENT_MODE</w:t>
      </w:r>
    </w:p>
    <w:p>
      <w:pPr>
        <w:pStyle w:val="ListParagraph"/>
        <w:numPr>
          <w:ilvl w:val="0"/>
          <w:numId w:val="2"/>
        </w:numPr>
        <w:spacing w:after="160"/>
      </w:pPr>
      <w:r>
        <w:rPr>
          <w:b/>
          <w:bCs/>
        </w:rPr>
        <w:t xml:space="preserve">Config Schema (config.json): </w:t>
      </w:r>
      <w:r>
        <w:t xml:space="preserve">engagement_duration_weeks: 12, reflect_gate_interval_weeks: 2, pii_classifier_recall_target: 0.992, assumption_quality_threshold: 0.65, de_duplication_factor: 0.7, tier: mid_cap|large_cap|conglomerate</w:t>
      </w:r>
    </w:p>
    <w:p>
      <w:pPr>
        <w:pStyle w:val="ListParagraph"/>
        <w:numPr>
          <w:ilvl w:val="0"/>
          <w:numId w:val="2"/>
        </w:numPr>
        <w:spacing w:after="160"/>
      </w:pPr>
      <w:r>
        <w:rPr>
          <w:b/>
          <w:bCs/>
        </w:rPr>
        <w:t xml:space="preserve">Secrets Management: </w:t>
      </w:r>
      <w:r>
        <w:t xml:space="preserve">AWS Secrets Manager or HashiCorp Vault; rotate API keys every 90 days</w:t>
      </w:r>
    </w:p>
    <w:p>
      <w:r>
        <w:br w:type="page"/>
      </w:r>
    </w:p>
    <w:p>
      <w:pPr>
        <w:pStyle w:val="Heading1"/>
        <w:spacing w:after="200"/>
      </w:pPr>
      <w:r>
        <w:t xml:space="preserve">8. Interface Specifications</w:t>
      </w:r>
    </w:p>
    <w:p>
      <w:pPr>
        <w:pStyle w:val="Heading2"/>
        <w:spacing w:after="160"/>
      </w:pPr>
      <w:r>
        <w:t xml:space="preserve">8.1 Cost Room UI</w:t>
      </w:r>
    </w:p>
    <w:p>
      <w:pPr>
        <w:spacing w:after="160"/>
      </w:pPr>
      <w:r>
        <w:t xml:space="preserve">Primary live-analysis interface for CFO, analysts, functional owners. React SPA, role-based filter visibility.</w:t>
      </w:r>
    </w:p>
    <w:p>
      <w:pPr>
        <w:spacing w:after="120"/>
      </w:pPr>
      <w:r>
        <w:rPr>
          <w:b/>
          <w:bCs/>
        </w:rPr>
        <w:t xml:space="preserve">Layout: </w:t>
      </w:r>
    </w:p>
    <w:p>
      <w:pPr>
        <w:pStyle w:val="ListParagraph"/>
        <w:numPr>
          <w:ilvl w:val="0"/>
          <w:numId w:val="2"/>
        </w:numPr>
        <w:spacing w:after="160"/>
      </w:pPr>
      <w:r>
        <w:t xml:space="preserve">Left sidebar: Pool selector (People, Procurement, Technology, etc.), drill-down taxonomy</w:t>
      </w:r>
    </w:p>
    <w:p>
      <w:pPr>
        <w:pStyle w:val="ListParagraph"/>
        <w:numPr>
          <w:ilvl w:val="0"/>
          <w:numId w:val="2"/>
        </w:numPr>
        <w:spacing w:after="160"/>
      </w:pPr>
      <w:r>
        <w:t xml:space="preserve">Main canvas: Spend distribution (pie), top vendors (bar), variance trend (line), key metrics summary</w:t>
      </w:r>
    </w:p>
    <w:p>
      <w:pPr>
        <w:pStyle w:val="ListParagraph"/>
        <w:numPr>
          <w:ilvl w:val="0"/>
          <w:numId w:val="2"/>
        </w:numPr>
        <w:spacing w:after="160"/>
      </w:pPr>
      <w:r>
        <w:t xml:space="preserve">Right panel: Initiative opportunity cards (draggable, stackable by value lever, status)</w:t>
      </w:r>
    </w:p>
    <w:p>
      <w:pPr>
        <w:pStyle w:val="ListParagraph"/>
        <w:numPr>
          <w:ilvl w:val="0"/>
          <w:numId w:val="2"/>
        </w:numPr>
        <w:spacing w:after="160"/>
      </w:pPr>
      <w:r>
        <w:t xml:space="preserve">Bottom bar: Real-time legend (B1=public, B2=aggregate, B3=role-scoped), cache status, last refresh</w:t>
      </w:r>
    </w:p>
    <w:p>
      <w:pPr>
        <w:spacing w:after="120"/>
      </w:pPr>
      <w:r>
        <w:rPr>
          <w:b/>
          <w:bCs/>
        </w:rPr>
        <w:t xml:space="preserve">Key Interactions: </w:t>
      </w:r>
    </w:p>
    <w:p>
      <w:pPr>
        <w:pStyle w:val="ListParagraph"/>
        <w:numPr>
          <w:ilvl w:val="0"/>
          <w:numId w:val="2"/>
        </w:numPr>
        <w:spacing w:after="160"/>
      </w:pPr>
      <w:r>
        <w:t xml:space="preserve">Pool click → drill to category spend (cached &lt;500ms)</w:t>
      </w:r>
    </w:p>
    <w:p>
      <w:pPr>
        <w:pStyle w:val="ListParagraph"/>
        <w:numPr>
          <w:ilvl w:val="0"/>
          <w:numId w:val="2"/>
        </w:numPr>
        <w:spacing w:after="160"/>
      </w:pPr>
      <w:r>
        <w:t xml:space="preserve">Vendor row → show GL lines (role-filtered; B3 vendors hidden from Analyst role)</w:t>
      </w:r>
    </w:p>
    <w:p>
      <w:pPr>
        <w:pStyle w:val="ListParagraph"/>
        <w:numPr>
          <w:ilvl w:val="0"/>
          <w:numId w:val="2"/>
        </w:numPr>
        <w:spacing w:after="160"/>
      </w:pPr>
      <w:r>
        <w:t xml:space="preserve">Initiative card → narrative + assumptions + audit trail</w:t>
      </w:r>
    </w:p>
    <w:p>
      <w:pPr>
        <w:pStyle w:val="ListParagraph"/>
        <w:numPr>
          <w:ilvl w:val="0"/>
          <w:numId w:val="2"/>
        </w:numPr>
        <w:spacing w:after="160"/>
      </w:pPr>
      <w:r>
        <w:t xml:space="preserve">CFO drill-through → temporary RBAC elevation (logged, 24h expiry) → view B3 vendor detail</w:t>
      </w:r>
    </w:p>
    <w:p>
      <w:pPr>
        <w:spacing w:after="240"/>
      </w:pPr>
      <w:r>
        <w:t xml:space="preserve"/>
      </w:r>
    </w:p>
    <w:p>
      <w:pPr>
        <w:pStyle w:val="Heading2"/>
        <w:spacing w:after="160"/>
      </w:pPr>
      <w:r>
        <w:t xml:space="preserve">8.2 Dashboard (Engagement Monitoring)</w:t>
      </w:r>
    </w:p>
    <w:p>
      <w:pPr>
        <w:spacing w:after="160"/>
      </w:pPr>
      <w:r>
        <w:t xml:space="preserve">Real-time engagement status, OPAR phase, initiative pipeline, assumption quality, regulatory flagging.</w:t>
      </w:r>
    </w:p>
    <w:p>
      <w:pPr>
        <w:spacing w:after="120"/>
      </w:pPr>
      <w:r>
        <w:rPr>
          <w:b/>
          <w:bCs/>
        </w:rPr>
        <w:t xml:space="preserve">Widgets: </w:t>
      </w:r>
    </w:p>
    <w:p>
      <w:pPr>
        <w:pStyle w:val="ListParagraph"/>
        <w:numPr>
          <w:ilvl w:val="0"/>
          <w:numId w:val="2"/>
        </w:numPr>
        <w:spacing w:after="160"/>
      </w:pPr>
      <w:r>
        <w:t xml:space="preserve">OPAR Loop Timeline: Current phase, completed gates, next gate date</w:t>
      </w:r>
    </w:p>
    <w:p>
      <w:pPr>
        <w:pStyle w:val="ListParagraph"/>
        <w:numPr>
          <w:ilvl w:val="0"/>
          <w:numId w:val="2"/>
        </w:numPr>
        <w:spacing w:after="160"/>
      </w:pPr>
      <w:r>
        <w:t xml:space="preserve">Initiative Pipeline: # Identified, # Prioritized, # Board-ready (with P10/P50/P90 ranges)</w:t>
      </w:r>
    </w:p>
    <w:p>
      <w:pPr>
        <w:pStyle w:val="ListParagraph"/>
        <w:numPr>
          <w:ilvl w:val="0"/>
          <w:numId w:val="2"/>
        </w:numPr>
        <w:spacing w:after="160"/>
      </w:pPr>
      <w:r>
        <w:t xml:space="preserve">Assumption Health: % with quality_score &gt;0.70, low-quality list (sortable by lever)</w:t>
      </w:r>
    </w:p>
    <w:p>
      <w:pPr>
        <w:pStyle w:val="ListParagraph"/>
        <w:numPr>
          <w:ilvl w:val="0"/>
          <w:numId w:val="2"/>
        </w:numPr>
        <w:spacing w:after="160"/>
      </w:pPr>
      <w:r>
        <w:t xml:space="preserve">Regulatory Alerts: Material changes in GST, RBI, sector rules (sourced from watcher)</w:t>
      </w:r>
    </w:p>
    <w:p>
      <w:pPr>
        <w:pStyle w:val="ListParagraph"/>
        <w:numPr>
          <w:ilvl w:val="0"/>
          <w:numId w:val="2"/>
        </w:numPr>
        <w:spacing w:after="160"/>
      </w:pPr>
      <w:r>
        <w:t xml:space="preserve">Skill Execution Log: Latest skill runs, status, output quality</w:t>
      </w:r>
    </w:p>
    <w:p>
      <w:pPr>
        <w:spacing w:after="240"/>
      </w:pPr>
      <w:r>
        <w:t xml:space="preserve"/>
      </w:r>
    </w:p>
    <w:p>
      <w:pPr>
        <w:pStyle w:val="Heading2"/>
        <w:spacing w:after="160"/>
      </w:pPr>
      <w:r>
        <w:t xml:space="preserve">8.3 Admin Console</w:t>
      </w:r>
    </w:p>
    <w:p>
      <w:pPr>
        <w:pStyle w:val="ListParagraph"/>
        <w:numPr>
          <w:ilvl w:val="0"/>
          <w:numId w:val="2"/>
        </w:numPr>
        <w:spacing w:after="160"/>
      </w:pPr>
      <w:r>
        <w:t xml:space="preserve">User &amp; Role Management: Add users, assign pool-scoped roles, manage temporary elevations</w:t>
      </w:r>
    </w:p>
    <w:p>
      <w:pPr>
        <w:pStyle w:val="ListParagraph"/>
        <w:numPr>
          <w:ilvl w:val="0"/>
          <w:numId w:val="2"/>
        </w:numPr>
        <w:spacing w:after="160"/>
      </w:pPr>
      <w:r>
        <w:t xml:space="preserve">Engagement Lifecycle: Create/configure/monitor/tear-down engagements</w:t>
      </w:r>
    </w:p>
    <w:p>
      <w:pPr>
        <w:pStyle w:val="ListParagraph"/>
        <w:numPr>
          <w:ilvl w:val="0"/>
          <w:numId w:val="2"/>
        </w:numPr>
        <w:spacing w:after="160"/>
      </w:pPr>
      <w:r>
        <w:t xml:space="preserve">Skill Configuration: Enable/disable skills, set M1/M2/M3 mode, configure skill parameters</w:t>
      </w:r>
    </w:p>
    <w:p>
      <w:pPr>
        <w:pStyle w:val="ListParagraph"/>
        <w:numPr>
          <w:ilvl w:val="0"/>
          <w:numId w:val="2"/>
        </w:numPr>
        <w:spacing w:after="160"/>
      </w:pPr>
      <w:r>
        <w:t xml:space="preserve">Audit Log Search: Filter by user, action, resource, date range</w:t>
      </w:r>
    </w:p>
    <w:p>
      <w:pPr>
        <w:pStyle w:val="ListParagraph"/>
        <w:numPr>
          <w:ilvl w:val="0"/>
          <w:numId w:val="2"/>
        </w:numPr>
        <w:spacing w:after="160"/>
      </w:pPr>
      <w:r>
        <w:t xml:space="preserve">Data Governance: PII re-classification requests, artifact vault explorer, DLP scans</w:t>
      </w:r>
    </w:p>
    <w:p>
      <w:r>
        <w:br w:type="page"/>
      </w:r>
    </w:p>
    <w:p>
      <w:pPr>
        <w:pStyle w:val="Heading1"/>
        <w:spacing w:after="200"/>
      </w:pPr>
      <w:r>
        <w:t xml:space="preserve">9. Implementation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340"/>
        <w:gridCol w:w="2340"/>
        <w:gridCol w:w="2808"/>
      </w:tblGrid>
      <w:tr>
        <w:tc>
          <w:tcPr>
            <w:tcW w:type="pct" w:w="100%"/>
            <w:tcBorders>
              <w:top w:val="single" w:color="999999" w:sz="1"/>
              <w:left w:val="single" w:color="999999" w:sz="1"/>
              <w:bottom w:val="single" w:color="999999" w:sz="1"/>
              <w:right w:val="single" w:color="999999" w:sz="1"/>
            </w:tcBorders>
            <w:shd w:fill="1F4E78" w:val="clear"/>
            <w:tcMar>
              <w:top w:type="dxa" w:w="80"/>
              <w:left w:type="dxa" w:w="120"/>
              <w:bottom w:type="dxa" w:w="80"/>
              <w:right w:type="dxa" w:w="120"/>
            </w:tcMar>
          </w:tcPr>
          <w:p>
            <w:pPr>
              <w:spacing w:line="240"/>
            </w:pPr>
            <w:r>
              <w:rPr>
                <w:b/>
                <w:bCs/>
              </w:rPr>
              <w:t xml:space="preserve">Phase</w:t>
            </w:r>
          </w:p>
        </w:tc>
        <w:tc>
          <w:tcPr>
            <w:tcW w:type="pct" w:w="100%"/>
            <w:tcBorders>
              <w:top w:val="single" w:color="999999" w:sz="1"/>
              <w:left w:val="single" w:color="999999" w:sz="1"/>
              <w:bottom w:val="single" w:color="999999" w:sz="1"/>
              <w:right w:val="single" w:color="999999" w:sz="1"/>
            </w:tcBorders>
            <w:shd w:fill="1F4E78" w:val="clear"/>
            <w:tcMar>
              <w:top w:type="dxa" w:w="80"/>
              <w:left w:type="dxa" w:w="120"/>
              <w:bottom w:type="dxa" w:w="80"/>
              <w:right w:type="dxa" w:w="120"/>
            </w:tcMar>
          </w:tcPr>
          <w:p>
            <w:pPr>
              <w:spacing w:line="240"/>
            </w:pPr>
            <w:r>
              <w:rPr>
                <w:b/>
                <w:bCs/>
              </w:rPr>
              <w:t xml:space="preserve">Timeline</w:t>
            </w:r>
          </w:p>
        </w:tc>
        <w:tc>
          <w:tcPr>
            <w:tcW w:type="pct" w:w="100%"/>
            <w:tcBorders>
              <w:top w:val="single" w:color="999999" w:sz="1"/>
              <w:left w:val="single" w:color="999999" w:sz="1"/>
              <w:bottom w:val="single" w:color="999999" w:sz="1"/>
              <w:right w:val="single" w:color="999999" w:sz="1"/>
            </w:tcBorders>
            <w:shd w:fill="1F4E78" w:val="clear"/>
            <w:tcMar>
              <w:top w:type="dxa" w:w="80"/>
              <w:left w:type="dxa" w:w="120"/>
              <w:bottom w:type="dxa" w:w="80"/>
              <w:right w:type="dxa" w:w="120"/>
            </w:tcMar>
          </w:tcPr>
          <w:p>
            <w:pPr>
              <w:spacing w:line="240"/>
            </w:pPr>
            <w:r>
              <w:rPr>
                <w:b/>
                <w:bCs/>
              </w:rPr>
              <w:t xml:space="preserve">Key Components</w:t>
            </w:r>
          </w:p>
        </w:tc>
        <w:tc>
          <w:tcPr>
            <w:tcW w:type="pct" w:w="100%"/>
            <w:tcBorders>
              <w:top w:val="single" w:color="999999" w:sz="1"/>
              <w:left w:val="single" w:color="999999" w:sz="1"/>
              <w:bottom w:val="single" w:color="999999" w:sz="1"/>
              <w:right w:val="single" w:color="999999" w:sz="1"/>
            </w:tcBorders>
            <w:shd w:fill="1F4E78" w:val="clear"/>
            <w:tcMar>
              <w:top w:type="dxa" w:w="80"/>
              <w:left w:type="dxa" w:w="120"/>
              <w:bottom w:type="dxa" w:w="80"/>
              <w:right w:type="dxa" w:w="120"/>
            </w:tcMar>
          </w:tcPr>
          <w:p>
            <w:pPr>
              <w:spacing w:line="240"/>
            </w:pPr>
            <w:r>
              <w:rPr>
                <w:b/>
                <w:bCs/>
              </w:rPr>
              <w:t xml:space="preserve">Deliverables</w:t>
            </w:r>
          </w:p>
        </w:tc>
      </w:tr>
      <w:tr>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1: Core Platform</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Weeks 1--4</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API layer, PostgreSQL schema, OPAR loop skeleton, PII classifier</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REST API spec, DB schema, ingestion endpoint, unit tests &gt;80%</w:t>
            </w:r>
          </w:p>
        </w:tc>
      </w:tr>
      <w:tr>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2: Skills &amp; OPAR</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Weeks 5--8</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Skill executor, DAG planner, 3 base skills (peer, internal, cost-pool), Reflect gate</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Skill framework docs, skill examples, agentic loop demo</w:t>
            </w:r>
          </w:p>
        </w:tc>
      </w:tr>
      <w:tr>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3: Enforcement</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Weeks 9--12</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Assumption-quality gates, RBAC, narrative provenance, artifact vault</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Enforcement test suite, audit log explorer, snapshot store</w:t>
            </w:r>
          </w:p>
        </w:tc>
      </w:tr>
      <w:tr>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4: Interfaces &amp; Scale</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Weeks 13--16</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Cost room UI (React), dashboard, admin console, Redis caching, Spark integration</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Cost room SLA &lt;500ms test, large-cap load test, UI acceptance</w:t>
            </w:r>
          </w:p>
        </w:tc>
      </w:tr>
      <w:tr>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5: Deployment &amp; Ops</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Weeks 17--20</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Docker/K8s configs, tear-down protocol, monitoring, runbooks, security hardening</w:t>
            </w:r>
          </w:p>
        </w:tc>
        <w:tc>
          <w:tcPr>
            <w:tcW w:type="pct" w:w="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40"/>
            </w:pPr>
            <w:r>
              <w:rPr>
                <w:b w:val="false"/>
                <w:bCs w:val="false"/>
              </w:rPr>
              <w:t xml:space="preserve">Deployment docs, ops runbooks, security audit, live engagement demo</w:t>
            </w:r>
          </w:p>
        </w:tc>
      </w:tr>
    </w:tbl>
    <w:p>
      <w:pPr>
        <w:spacing w:after="240"/>
      </w:pPr>
      <w:r>
        <w:t xml:space="preserve"/>
      </w:r>
    </w:p>
    <w:p>
      <w:pPr>
        <w:pStyle w:val="Heading1"/>
        <w:spacing w:after="200"/>
      </w:pPr>
      <w:r>
        <w:t xml:space="preserve">10. Quality &amp; Regression Testing</w:t>
      </w:r>
    </w:p>
    <w:p>
      <w:pPr>
        <w:pStyle w:val="ListParagraph"/>
        <w:numPr>
          <w:ilvl w:val="0"/>
          <w:numId w:val="2"/>
        </w:numPr>
        <w:spacing w:after="160"/>
      </w:pPr>
      <w:r>
        <w:rPr>
          <w:b/>
          <w:bCs/>
        </w:rPr>
        <w:t xml:space="preserve">Skill Quality Matrix: </w:t>
      </w:r>
      <w:r>
        <w:t xml:space="preserve">Regression tests for each skill (M1/M2/M3). Example: peer-disclosure-miner tested on 5 earnings-call transcripts; recall must stay ≥target (25%/85%/50%).</w:t>
      </w:r>
    </w:p>
    <w:p>
      <w:pPr>
        <w:pStyle w:val="ListParagraph"/>
        <w:numPr>
          <w:ilvl w:val="0"/>
          <w:numId w:val="2"/>
        </w:numPr>
        <w:spacing w:after="160"/>
      </w:pPr>
      <w:r>
        <w:rPr>
          <w:b/>
          <w:bCs/>
        </w:rPr>
        <w:t xml:space="preserve">Enforcement Tests: </w:t>
      </w:r>
      <w:r>
        <w:t xml:space="preserve">PII classifier recall 99.2%+, k-anonymity gate correctness, assumption-quality score calibration, narrative reproducibility (snapshot + seed).</w:t>
      </w:r>
    </w:p>
    <w:p>
      <w:pPr>
        <w:pStyle w:val="ListParagraph"/>
        <w:numPr>
          <w:ilvl w:val="0"/>
          <w:numId w:val="2"/>
        </w:numPr>
        <w:spacing w:after="160"/>
      </w:pPr>
      <w:r>
        <w:rPr>
          <w:b/>
          <w:bCs/>
        </w:rPr>
        <w:t xml:space="preserve">Performance Tests: </w:t>
      </w:r>
      <w:r>
        <w:t xml:space="preserve">Cost-room filter &lt;500ms for mid-cap (100k lines), &lt;200ms for large-cap (5M lines), &lt;100ms for conglomerate (20M+ with materialised views).</w:t>
      </w:r>
    </w:p>
    <w:p>
      <w:pPr>
        <w:pStyle w:val="ListParagraph"/>
        <w:numPr>
          <w:ilvl w:val="0"/>
          <w:numId w:val="2"/>
        </w:numPr>
        <w:spacing w:after="160"/>
      </w:pPr>
      <w:r>
        <w:rPr>
          <w:b/>
          <w:bCs/>
        </w:rPr>
        <w:t xml:space="preserve">Security Tests: </w:t>
      </w:r>
      <w:r>
        <w:t xml:space="preserve">RBAC enforcement, PII non-exposure in logs, JWT validation, tear-down artifact verification, AWS/K8s resource cleanup.</w:t>
      </w:r>
    </w:p>
    <w:p>
      <w:r>
        <w:br w:type="page"/>
      </w:r>
    </w:p>
    <w:p>
      <w:pPr>
        <w:pStyle w:val="Heading1"/>
        <w:spacing w:after="200"/>
      </w:pPr>
      <w:r>
        <w:t xml:space="preserve">11. Getting Started for Developers</w:t>
      </w:r>
    </w:p>
    <w:p>
      <w:pPr>
        <w:spacing w:after="160"/>
      </w:pPr>
      <w:r>
        <w:t xml:space="preserve">1. Clone repository and read README for local dev setup (Docker Compose)</w:t>
      </w:r>
    </w:p>
    <w:p>
      <w:pPr>
        <w:spacing w:after="160"/>
      </w:pPr>
      <w:r>
        <w:t xml:space="preserve">2. Start with Phase 1 (core platform): implement API layer, schema, ingestion</w:t>
      </w:r>
    </w:p>
    <w:p>
      <w:pPr>
        <w:spacing w:after="160"/>
      </w:pPr>
      <w:r>
        <w:t xml:space="preserve">3. Set up PostgreSQL locally; seed with sample GL data (provided in repo)</w:t>
      </w:r>
    </w:p>
    <w:p>
      <w:pPr>
        <w:spacing w:after="160"/>
      </w:pPr>
      <w:r>
        <w:t xml:space="preserve">4. Implement PII classifier (Presidio + spaCy) and test on synthetic PII</w:t>
      </w:r>
    </w:p>
    <w:p>
      <w:pPr>
        <w:spacing w:after="160"/>
      </w:pPr>
      <w:r>
        <w:t xml:space="preserve">5. Build OPAR loop skeleton (state machine) to orchestrate phases</w:t>
      </w:r>
    </w:p>
    <w:p>
      <w:pPr>
        <w:spacing w:after="160"/>
      </w:pPr>
      <w:r>
        <w:t xml:space="preserve">6. Implement 3 base skills, DAG planner, and Reflect gate</w:t>
      </w:r>
    </w:p>
    <w:p>
      <w:pPr>
        <w:spacing w:after="160"/>
      </w:pPr>
      <w:r>
        <w:t xml:space="preserve">7. Add enforcement: assumption-quality gates, RBAC, audit logging</w:t>
      </w:r>
    </w:p>
    <w:p>
      <w:pPr>
        <w:spacing w:after="160"/>
      </w:pPr>
      <w:r>
        <w:t xml:space="preserve">8. Build Cost Room UI and admin console; integrate with backend</w:t>
      </w:r>
    </w:p>
    <w:p>
      <w:pPr>
        <w:spacing w:after="160"/>
      </w:pPr>
      <w:r>
        <w:t xml:space="preserve">9. Load-test with mid-cap scenario (100k GL lines); optimize Redis/Spark</w:t>
      </w:r>
    </w:p>
    <w:p>
      <w:pPr>
        <w:spacing w:after="160"/>
      </w:pPr>
      <w:r>
        <w:t xml:space="preserve">10. Deploy to test VPC; run tear-down protocol; verify audit trail</w:t>
      </w:r>
    </w:p>
    <w:p>
      <w:pPr>
        <w:spacing w:after="240"/>
      </w:pPr>
      <w:r>
        <w:t xml:space="preserve"/>
      </w:r>
    </w:p>
    <w:p>
      <w:pPr>
        <w:spacing w:after="160"/>
      </w:pPr>
      <w:r>
        <w:t xml:space="preserve">---</w:t>
      </w:r>
    </w:p>
    <w:p>
      <w:pPr>
        <w:spacing w:after="160"/>
      </w:pPr>
      <w:r>
        <w:t xml:space="preserve"/>
      </w:r>
    </w:p>
    <w:p>
      <w:pPr>
        <w:spacing w:after="160"/>
      </w:pPr>
      <w:r>
        <w:t xml:space="preserve">Document Version: 1.0 Technical Specification</w:t>
      </w:r>
    </w:p>
    <w:p>
      <w:pPr>
        <w:spacing w:after="160"/>
      </w:pPr>
      <w:r>
        <w:t xml:space="preserve">Date: May 10, 2026</w:t>
      </w:r>
    </w:p>
    <w:p>
      <w:pPr>
        <w:spacing w:after="160"/>
      </w:pPr>
      <w:r>
        <w:t xml:space="preserve">Status: Ready for Development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8"/>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60"/>
      <w:outlineLvl w:val="2"/>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2026-05-10T14:17:16.716Z</dcterms:created>
  <dcterms:modified xsi:type="dcterms:W3CDTF">2026-05-10T14:17:16.716Z</dcterms:modified>
</cp:coreProperties>
</file>

<file path=docProps/custom.xml><?xml version="1.0" encoding="utf-8"?>
<Properties xmlns="http://schemas.openxmlformats.org/officeDocument/2006/custom-properties" xmlns:vt="http://schemas.openxmlformats.org/officeDocument/2006/docPropsVTypes"/>
</file>