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Cost Optimization Memo — Aranya Digital Services</w:t>
      </w:r>
    </w:p>
    <w:p>
      <w:pPr>
        <w:pStyle w:val="Heading2"/>
      </w:pPr>
      <w:r>
        <w:t>Executive Summary</w:t>
      </w:r>
    </w:p>
    <w:p>
      <w:r>
        <w:t>This memo reviews operating expense across IT, Travel, and Professional Services for FY2025. Total addressable spend is estimated at INR 18 crore.</w:t>
      </w:r>
    </w:p>
    <w:p>
      <w:pPr>
        <w:pStyle w:val="Heading2"/>
      </w:pPr>
      <w:r>
        <w:t>Contract Notes</w:t>
      </w:r>
    </w:p>
    <w:p>
      <w:r>
        <w:t>The Oracle database maintenance contract renews in March 2027 and carries a 12 percent auto-escalation clause. The AWS enterprise agreement is up for renewal in September 2026.</w:t>
      </w:r>
    </w:p>
    <w:p>
      <w:pPr>
        <w:pStyle w:val="Heading2"/>
      </w:pPr>
      <w:r>
        <w:t>Recommendations</w:t>
      </w:r>
    </w:p>
    <w:p>
      <w:r>
        <w:t>Consolidate the three regional travel desks into a single managed travel program and renegotiate Oracle maintenance from Net-30 to Net-60 payment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