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F4E79"/>
          <w:sz w:val="52"/>
          <w:szCs w:val="52"/>
        </w:rPr>
        <w:t xml:space="preserve">B100 — BLUESTOCK FINTECH</w:t>
      </w:r>
    </w:p>
    <w:p>
      <w:pPr>
        <w:spacing w:after="80" w:before="0"/>
        <w:jc w:val="center"/>
      </w:pPr>
      <w:r>
        <w:rPr>
          <w:rFonts w:ascii="Arial" w:cs="Arial" w:eastAsia="Arial" w:hAnsi="Arial"/>
          <w:color w:val="2E75B6"/>
          <w:sz w:val="32"/>
          <w:szCs w:val="32"/>
        </w:rPr>
        <w:t xml:space="preserve">B100 Financial Intelligence Platform</w:t>
      </w:r>
    </w:p>
    <w:p>
      <w:pPr>
        <w:spacing w:after="400" w:before="0"/>
        <w:jc w:val="center"/>
      </w:pPr>
      <w:r>
        <w:rPr>
          <w:rFonts w:ascii="Arial" w:cs="Arial" w:eastAsia="Arial" w:hAnsi="Arial"/>
          <w:color w:val="718096"/>
          <w:sz w:val="26"/>
          <w:szCs w:val="26"/>
        </w:rPr>
        <w:t xml:space="preserve">Complete Project Documentation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2E75B6" w:sz="1"/>
              <w:left w:val="single" w:color="2E75B6" w:sz="1"/>
              <w:bottom w:val="single" w:color="2E75B6" w:sz="1"/>
              <w:right w:val="single" w:color="2E75B6" w:sz="1"/>
            </w:tcBorders>
            <w:shd w:fill="DEEAF1" w:val="clear"/>
            <w:tcMar>
              <w:top w:type="dxa" w:w="160"/>
              <w:left w:type="dxa" w:w="240"/>
              <w:bottom w:type="dxa" w:w="160"/>
              <w:right w:type="dxa" w:w="240"/>
            </w:tcMar>
          </w:tcPr>
          <w:p>
            <w:pPr>
              <w:spacing w:after="40" w:before="0"/>
              <w:jc w:val="center"/>
            </w:pPr>
            <w:r>
              <w:rPr>
                <w:rFonts w:ascii="Arial" w:cs="Arial" w:eastAsia="Arial" w:hAnsi="Arial"/>
                <w:color w:val="1F4E79"/>
                <w:sz w:val="22"/>
                <w:szCs w:val="22"/>
              </w:rPr>
              <w:t xml:space="preserve">Intern Project | April – June 2025</w:t>
            </w:r>
          </w:p>
          <w:p>
            <w:pPr>
              <w:spacing w:after="40" w:before="0"/>
              <w:jc w:val="center"/>
            </w:pPr>
            <w:r>
              <w:rPr>
                <w:rFonts w:ascii="Arial" w:cs="Arial" w:eastAsia="Arial" w:hAnsi="Arial"/>
                <w:b/>
                <w:bCs/>
                <w:color w:val="1F4E79"/>
                <w:sz w:val="22"/>
                <w:szCs w:val="22"/>
              </w:rPr>
              <w:t xml:space="preserve">Bluestock Fintech Pvt. Ltd.</w:t>
            </w:r>
          </w:p>
          <w:p>
            <w:pPr>
              <w:spacing w:after="0" w:before="0"/>
              <w:jc w:val="center"/>
            </w:pPr>
            <w:r>
              <w:rPr>
                <w:rFonts w:ascii="Arial" w:cs="Arial" w:eastAsia="Arial" w:hAnsi="Arial"/>
                <w:i/>
                <w:iCs/>
                <w:color w:val="718096"/>
                <w:sz w:val="20"/>
                <w:szCs w:val="20"/>
              </w:rPr>
              <w:t xml:space="preserve">Confidential — Educational Use Only</w:t>
            </w:r>
          </w:p>
        </w:tc>
      </w:tr>
    </w:tbl>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1. Project Overview</w:t>
      </w:r>
    </w:p>
    <w:p>
      <w:pPr>
        <w:spacing w:after="80" w:before="60" w:line="340"/>
      </w:pPr>
      <w:r>
        <w:rPr>
          <w:rFonts w:ascii="Arial" w:cs="Arial" w:eastAsia="Arial" w:hAnsi="Arial"/>
          <w:color w:val="1A202C"/>
          <w:sz w:val="22"/>
          <w:szCs w:val="22"/>
        </w:rPr>
        <w:t xml:space="preserve">B100-Bluestock Fintech is a full-stack financial intelligence platform covering India's top 100 Nifty-listed companies. It transforms raw historical financial data from MariaDB exports into actionable insights delivered through Power BI dashboards, a Django web application, and a secured REST API for channel partners.</w:t>
      </w:r>
    </w:p>
    <w:p>
      <w:pPr>
        <w:spacing w:after="0" w:before="0"/>
      </w:pPr>
      <w:r>
        <w:t xml:space="preserve"/>
      </w:r>
    </w:p>
    <w:p>
      <w:pPr>
        <w:spacing w:after="80" w:before="60" w:line="340"/>
      </w:pPr>
      <w:r>
        <w:rPr>
          <w:rFonts w:ascii="Arial" w:cs="Arial" w:eastAsia="Arial" w:hAnsi="Arial"/>
          <w:i/>
          <w:iCs/>
          <w:color w:val="1A202C"/>
          <w:sz w:val="22"/>
          <w:szCs w:val="22"/>
        </w:rPr>
        <w:t xml:space="preserve">This platform mirrors real-world fintech products such as Screener.in, Trendlyne, and Tijori Finance. It demonstrates the complete data-to-insight pipeline: ETL engineering, data warehousing, machine learning scoring, interactive dashboard design, and production-grade API development.</w:t>
      </w:r>
    </w:p>
    <w:p>
      <w:pPr>
        <w:pBdr>
          <w:bottom w:val="single" w:color="CCCCCC" w:sz="2" w:space="1"/>
        </w:pBdr>
        <w:spacing w:after="160" w:before="1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2. Project Objectives</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Build a production-grade ETL pipeline that extracts, cleans, and loads 12 years of financial data for 100 companies into a PostgreSQL star-schema data warehouse.</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Develop 7 Power BI dashboards covering market overview, company deep dives, sector comparison, health scoring, growth analytics, debt monitoring, and dividend analysis.</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Engineer a machine learning health scoring model that rates every company on a 0–100 scale across 6 financial dimensions.</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Build a Django web application with 6 public pages, 8 Chart.js charts per company, and a financial screener.</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Expose a secured channel partner REST API with HMAC-SHA256 authentication, tiered rate limiting, and webhook delivery.</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Write 6 Jupyter analytics notebooks covering EDA, health scoring, anomaly detection, clustering, peer comparison, and revenue forecasting.</w:t>
      </w:r>
    </w:p>
    <w:p>
      <w:pPr>
        <w:pBdr>
          <w:bottom w:val="single" w:color="CCCCCC" w:sz="2" w:space="1"/>
        </w:pBdr>
        <w:spacing w:after="160" w:before="1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Tool / Library</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BI &amp; Dashboards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Microsoft Power BI Desktop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7 analytics dashboards with live PostgreSQL data</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ETL Language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Python 3.11 + pandas + SQLAlchemy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Data extraction, cleaning, transformation, loading</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Data Warehouse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PostgreSQL 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Star-schema warehouse — dim &amp; fact tables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ML &amp; Analytics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scikit-learn, scipy, statsmodels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Health scoring, anomaly detection, clustering</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Web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Django 4.2 + DRF 3.15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Public website + channel partner REST API</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Background Tasks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Celery + Redis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Scheduled ETL refresh, ML scoring, webhooks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Visualisation (Web)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Chart.js 4.4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8 interactive charts on company detail pages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pytest + pytest-django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22 automated tests across data service, views, API</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Containerisation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Docker + Docker Compose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Full local stack: PostgreSQL, Redis, Django, Celery</w:t>
            </w:r>
          </w:p>
        </w:tc>
      </w:tr>
    </w:tbl>
    <w:p>
      <w:pPr>
        <w:pBdr>
          <w:bottom w:val="single" w:color="CCCCCC" w:sz="2" w:space="1"/>
        </w:pBdr>
        <w:spacing w:after="160" w:before="1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4. Data Architecture</w:t>
      </w:r>
    </w:p>
    <w:p>
      <w:pPr>
        <w:pStyle w:val="Heading2"/>
        <w:spacing w:after="100" w:before="260"/>
      </w:pPr>
      <w:r>
        <w:rPr>
          <w:rFonts w:ascii="Arial" w:cs="Arial" w:eastAsia="Arial" w:hAnsi="Arial"/>
          <w:b/>
          <w:bCs/>
          <w:color w:val="2E75B6"/>
          <w:sz w:val="26"/>
          <w:szCs w:val="26"/>
        </w:rPr>
        <w:t xml:space="preserve">4.1 Source Data</w:t>
      </w:r>
    </w:p>
    <w:p>
      <w:pPr>
        <w:spacing w:after="80" w:before="60" w:line="340"/>
      </w:pPr>
      <w:r>
        <w:rPr>
          <w:rFonts w:ascii="Arial" w:cs="Arial" w:eastAsia="Arial" w:hAnsi="Arial"/>
          <w:color w:val="1A202C"/>
          <w:sz w:val="22"/>
          <w:szCs w:val="22"/>
        </w:rPr>
        <w:t xml:space="preserve">Seven tables exported from a MariaDB instance, containing historical financial data (2013–2024) for 92 B100 companies:</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companies — Company master: name, logo, website, NSE/BSE links, ROCE, ROE, face value, book value</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profitandloss — Annual P&amp;L: sales, expenses, OPM%, interest, depreciation, net profit, EPS, dividend</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balancesheet — Annual BS: equity capital, reserves, borrowings, total assets, fixed assets</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cashflow — Annual CF: operating, investing, financing activity, net cash flow</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analysis — CAGR metrics: 10Y/5Y/3Y/TTM compounded growth for sales, profit, stock CAGR, ROE</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prosandcons — Pre-curated qualitative insights per company</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documents — BSE annual report PDF links per company per year</w:t>
      </w:r>
    </w:p>
    <w:p>
      <w:pPr>
        <w:spacing w:after="0" w:before="0"/>
      </w:pPr>
      <w:r>
        <w:t xml:space="preserve"/>
      </w:r>
    </w:p>
    <w:p>
      <w:pPr>
        <w:pStyle w:val="Heading2"/>
        <w:spacing w:after="100" w:before="260"/>
      </w:pPr>
      <w:r>
        <w:rPr>
          <w:rFonts w:ascii="Arial" w:cs="Arial" w:eastAsia="Arial" w:hAnsi="Arial"/>
          <w:b/>
          <w:bCs/>
          <w:color w:val="2E75B6"/>
          <w:sz w:val="26"/>
          <w:szCs w:val="26"/>
        </w:rPr>
        <w:t xml:space="preserve">4.2 ETL Pipeline</w:t>
      </w:r>
    </w:p>
    <w:p>
      <w:pPr>
        <w:spacing w:after="80" w:before="60" w:line="340"/>
      </w:pPr>
      <w:r>
        <w:rPr>
          <w:rFonts w:ascii="Arial" w:cs="Arial" w:eastAsia="Arial" w:hAnsi="Arial"/>
          <w:color w:val="1A202C"/>
          <w:sz w:val="22"/>
          <w:szCs w:val="22"/>
        </w:rPr>
        <w:t xml:space="preserve">Three Python scripts form the complete pipeline in the etl/ folder: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Script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File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Function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01 Extract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01_extract_from_excel.py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Reads 7 Excel files → saves raw CSVs in data/raw/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02 Clean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02_clean_and_transform.py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Standardises years, parses CAGR strings, computes 10 derived metrics, adds sector classification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03 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03_load_to_warehouse.py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Creates star schema in PostgreSQL, loads dim &amp; fact tables with upsert logic, runs 8 quality checks</w:t>
            </w:r>
          </w:p>
        </w:tc>
      </w:tr>
    </w:tbl>
    <w:p>
      <w:pPr>
        <w:spacing w:after="0" w:before="0"/>
      </w:pPr>
      <w:r>
        <w:t xml:space="preserve"/>
      </w:r>
    </w:p>
    <w:p>
      <w:pPr>
        <w:pStyle w:val="Heading2"/>
        <w:spacing w:after="100" w:before="260"/>
      </w:pPr>
      <w:r>
        <w:rPr>
          <w:rFonts w:ascii="Arial" w:cs="Arial" w:eastAsia="Arial" w:hAnsi="Arial"/>
          <w:b/>
          <w:bCs/>
          <w:color w:val="2E75B6"/>
          <w:sz w:val="26"/>
          <w:szCs w:val="26"/>
        </w:rPr>
        <w:t xml:space="preserve">4.3 Star Schema Design</w:t>
      </w:r>
    </w:p>
    <w:p>
      <w:pPr>
        <w:spacing w:after="80" w:before="60" w:line="340"/>
      </w:pPr>
      <w:r>
        <w:rPr>
          <w:rFonts w:ascii="Arial" w:cs="Arial" w:eastAsia="Arial" w:hAnsi="Arial"/>
          <w:color w:val="1A202C"/>
          <w:sz w:val="22"/>
          <w:szCs w:val="22"/>
        </w:rPr>
        <w:t xml:space="preserve">The warehouse is structured as a star schema with 4 dimension tables and 7 fact tables: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Table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dim_company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Company master — symbol (PK), name, sector, logo, about, links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dim_year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Year labels with is_ttm flag and sort_order for correct chronological ordering</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dim_sector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19 sector classifications manually curated for all 92 companies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dim_health_label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EXCELLENT / GOOD / AVERAGE / WEAK / POOR with score ranges and hex colors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fact_profit_loss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P&amp;L history + computed net_profit_margin_pct, interest_coverage, asset_turnover, return_on_assets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fact_balance_sheet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BS history + computed debt_to_equity, equity_ratio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fact_cash_flow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CF history + computed free_cash_flow, cash_conversion_ratio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fact_analysis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CAGR metrics in long format: one row per (company, metric, period)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fact_ml_scores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ML health scores with 6 sub-dimension scores, label, and computed_at timestamp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fact_pros_cons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Qualitative insights — source (MANUAL/ML), is_pro flag, confidence score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fact_documents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Annual report PDF links per company per year</w:t>
            </w:r>
          </w:p>
        </w:tc>
      </w:tr>
    </w:tbl>
    <w:p>
      <w:pPr>
        <w:pBdr>
          <w:bottom w:val="single" w:color="CCCCCC" w:sz="2" w:space="1"/>
        </w:pBdr>
        <w:spacing w:after="160" w:before="1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5. Power BI Dashboards (Stream A)</w:t>
      </w:r>
    </w:p>
    <w:p>
      <w:pPr>
        <w:spacing w:after="80" w:before="60" w:line="340"/>
      </w:pPr>
      <w:r>
        <w:rPr>
          <w:rFonts w:ascii="Arial" w:cs="Arial" w:eastAsia="Arial" w:hAnsi="Arial"/>
          <w:color w:val="1A202C"/>
          <w:sz w:val="22"/>
          <w:szCs w:val="22"/>
        </w:rPr>
        <w:t xml:space="preserve">Seven production-grade Power BI dashboards are built on the PostgreSQL star schema. All dashboards share a consistent design system: primary color #1F4E79, Segoe UI font, and a red/green color convention (red = bad, green = good).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600"/>
        <w:gridCol w:w="47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Dashboard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Pages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Primary Audience &amp; Content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Executive Market Overview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Fund managers — Market snapshot, sector performance, YoY growth tracker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Company Deep Dive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Research analysts — Financial summary, balance sheet health, cash flow analysis, growth &amp; returns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Sector Comparison Analyzer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Sector analysts — Cross-sector revenue, margin, leverage comparisons and trend lines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Financial Health Scorecard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Risk managers — ML score leaderboard, score breakdown radar, pros/cons listing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Growth &amp; Valuation Analytics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Growth investors — CAGR scatter, OPM% heatmap, EPS growth rankings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Debt &amp; Leverage Monitor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Credit analysts — D/E heatmap, interest coverage scatter, debt trajectory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Dividend &amp; Shareholder Returns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Income investors — Dividend rankings, payout consistency, shareholder value radar</w:t>
            </w:r>
          </w:p>
        </w:tc>
      </w:tr>
    </w:tbl>
    <w:p>
      <w:pPr>
        <w:pBdr>
          <w:bottom w:val="single" w:color="CCCCCC" w:sz="2" w:space="1"/>
        </w:pBdr>
        <w:spacing w:after="160" w:before="1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6. Machine Learning Health Scoring Engine</w:t>
      </w:r>
    </w:p>
    <w:p>
      <w:pPr>
        <w:spacing w:after="80" w:before="60" w:line="340"/>
      </w:pPr>
      <w:r>
        <w:rPr>
          <w:rFonts w:ascii="Arial" w:cs="Arial" w:eastAsia="Arial" w:hAnsi="Arial"/>
          <w:color w:val="1A202C"/>
          <w:sz w:val="22"/>
          <w:szCs w:val="22"/>
        </w:rPr>
        <w:t xml:space="preserve">The health scoring model (Notebook 2) rates every company from 0–100 across 6 dimensions, each weighted to reflect its importance to overall financial health: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Weight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Metrics Used</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Profitability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25%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Average OPM%, net profit margin%, consistency (std dev of OPM)</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Revenue Growth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Compounded sales growth from analysis table: 3Y, 5Y, 10Y periods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Leverage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Latest debt-to-equity ratio, interest coverage ratio</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Cash Flow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 years with positive operating CF, FCF consistency, cash conversion ratio (target &gt; 1.0)</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Dividend Track Record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 years dividend was paid, average payout ratio</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Revenue Trend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Linear regression slope and R² on last 5 years of revenue and profit</w:t>
            </w:r>
          </w:p>
        </w:tc>
      </w:tr>
    </w:tbl>
    <w:p>
      <w:pPr>
        <w:spacing w:after="0" w:before="0"/>
      </w:pPr>
      <w:r>
        <w:t xml:space="preserve"/>
      </w:r>
    </w:p>
    <w:p>
      <w:pPr>
        <w:spacing w:after="80" w:before="60" w:line="340"/>
      </w:pPr>
      <w:r>
        <w:rPr>
          <w:rFonts w:ascii="Arial" w:cs="Arial" w:eastAsia="Arial" w:hAnsi="Arial"/>
          <w:color w:val="1A202C"/>
          <w:sz w:val="22"/>
          <w:szCs w:val="22"/>
        </w:rPr>
        <w:t xml:space="preserve">Score thresholds: EXCELLENT (85–100) · GOOD (70–84) · AVERAGE (50–69) · WEAK (35–49) · POOR (0–34)</w:t>
      </w:r>
    </w:p>
    <w:p>
      <w:pPr>
        <w:spacing w:after="80" w:before="60" w:line="340"/>
      </w:pPr>
      <w:r>
        <w:rPr>
          <w:rFonts w:ascii="Arial" w:cs="Arial" w:eastAsia="Arial" w:hAnsi="Arial"/>
          <w:color w:val="1A202C"/>
          <w:sz w:val="22"/>
          <w:szCs w:val="22"/>
        </w:rPr>
        <w:t xml:space="preserve">Validation: 92 companies scored. TCS, Bajaj Holdings, Coal India, IRCTC, ITC scored in the EXCELLENT band as expected.</w:t>
      </w:r>
    </w:p>
    <w:p>
      <w:pPr>
        <w:pBdr>
          <w:bottom w:val="single" w:color="CCCCCC" w:sz="2" w:space="1"/>
        </w:pBdr>
        <w:spacing w:after="160" w:before="1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7. Django Web Application (Stream C)</w:t>
      </w:r>
    </w:p>
    <w:p>
      <w:pPr>
        <w:pStyle w:val="Heading2"/>
        <w:spacing w:after="100" w:before="260"/>
      </w:pPr>
      <w:r>
        <w:rPr>
          <w:rFonts w:ascii="Arial" w:cs="Arial" w:eastAsia="Arial" w:hAnsi="Arial"/>
          <w:b/>
          <w:bCs/>
          <w:color w:val="2E75B6"/>
          <w:sz w:val="26"/>
          <w:szCs w:val="26"/>
        </w:rPr>
        <w:t xml:space="preserve">7.1 Website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URL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Page Name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Home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Live search, top-6 company cards, sector grid with score bars, KPI strip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/companies/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Company List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Sortable &amp; filterable table of all 92 companies with health score bars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/company/{symbol}/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Company Detail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8 Chart.js charts, pros/cons, annual report links, KPI strip, tabbed layout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/compare/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Compare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Side-by-side comparison table for 2–4 companies with revenue trend overlay chart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/screener/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Screener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Filter by sector, health label, min score, min OPM%, max D/E — sidebar 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/sector/{name}/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Sector Detail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All companies in a sector with health score bar ranking</w:t>
            </w:r>
          </w:p>
        </w:tc>
      </w:tr>
    </w:tbl>
    <w:p>
      <w:pPr>
        <w:spacing w:after="0" w:before="0"/>
      </w:pPr>
      <w:r>
        <w:t xml:space="preserve"/>
      </w:r>
    </w:p>
    <w:p>
      <w:pPr>
        <w:pStyle w:val="Heading2"/>
        <w:spacing w:after="100" w:before="260"/>
      </w:pPr>
      <w:r>
        <w:rPr>
          <w:rFonts w:ascii="Arial" w:cs="Arial" w:eastAsia="Arial" w:hAnsi="Arial"/>
          <w:b/>
          <w:bCs/>
          <w:color w:val="2E75B6"/>
          <w:sz w:val="26"/>
          <w:szCs w:val="26"/>
        </w:rPr>
        <w:t xml:space="preserve">7.2 Chart.js Charts (8 per Company)</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Chart 1: Revenue &amp; Profit Trend — Grouped bar + OPM% line (12 years)</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Chart 2: OPM% &amp; Net Profit Margin Trend — Dual-line area chart</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Chart 3: Balance Sheet — Borrowings vs Reserves (stacked bar)</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Chart 4: Cash Flow Analysis — Operating / Investing / Financing (grouped bar)</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Chart 5: Free Cash Flow Trend — Bar with green/red colour coding</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Chart 6: EPS &amp; Dividend History — Dual-line with secondary Y axis</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Chart 7: Asset Composition — Fixed assets / investments / other (stacked bar)</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Chart 8: CAGR Comparison — Sales growth 10Y / 5Y / 3Y / TTM (bar)</w:t>
      </w:r>
    </w:p>
    <w:p>
      <w:pPr>
        <w:spacing w:after="0" w:before="0"/>
      </w:pPr>
      <w:r>
        <w:t xml:space="preserve"/>
      </w:r>
    </w:p>
    <w:p>
      <w:pPr>
        <w:pStyle w:val="Heading2"/>
        <w:spacing w:after="100" w:before="260"/>
      </w:pPr>
      <w:r>
        <w:rPr>
          <w:rFonts w:ascii="Arial" w:cs="Arial" w:eastAsia="Arial" w:hAnsi="Arial"/>
          <w:b/>
          <w:bCs/>
          <w:color w:val="2E75B6"/>
          <w:sz w:val="26"/>
          <w:szCs w:val="26"/>
        </w:rPr>
        <w:t xml:space="preserve">7.3 Channel Partner API</w:t>
      </w:r>
    </w:p>
    <w:p>
      <w:pPr>
        <w:spacing w:after="80" w:before="60" w:line="340"/>
      </w:pPr>
      <w:r>
        <w:rPr>
          <w:rFonts w:ascii="Arial" w:cs="Arial" w:eastAsia="Arial" w:hAnsi="Arial"/>
          <w:color w:val="1A202C"/>
          <w:sz w:val="22"/>
          <w:szCs w:val="22"/>
        </w:rPr>
        <w:t xml:space="preserve">The REST API at /api/ exposes financial data for third-party integrations:</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GET /api/charts/{symbol}/ — All chart data for one company as JSON</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GET /api/companies/?q={query} — Search companies by name or symbol</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GET /api/screener/?label=EXCELLENT&amp;max_de=1.0 — Financial screener with filters</w:t>
      </w:r>
    </w:p>
    <w:p>
      <w:pPr>
        <w:spacing w:after="80" w:before="60" w:line="340"/>
      </w:pPr>
      <w:r>
        <w:rPr>
          <w:rFonts w:ascii="Arial" w:cs="Arial" w:eastAsia="Arial" w:hAnsi="Arial"/>
          <w:color w:val="1A202C"/>
          <w:sz w:val="22"/>
          <w:szCs w:val="22"/>
        </w:rPr>
        <w:t xml:space="preserve">Authentication is session-based for the public API. The full HMAC-SHA256 channel partner API (with tiered rate limiting and webhook delivery) is specified in etl/schema.sql and the Django app structure is ready to extend.</w:t>
      </w:r>
    </w:p>
    <w:p>
      <w:pPr>
        <w:pBdr>
          <w:bottom w:val="single" w:color="CCCCCC" w:sz="2" w:space="1"/>
        </w:pBdr>
        <w:spacing w:after="160" w:before="1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8. Analytics Notebooks (Stream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Notebook</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Outputs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Exploratory Data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8 visualisations: revenue distribution, profitability histograms, sector OPM boxplots, correlation heatmap, data coverage map, D/E scatter, top/bottom 10 companies, aggregate trend. Written 5-insight summary.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Financial Health Scoring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6-dimension scoring model for all 92 companies. Sensitivity analysis. Validation against known companies. Scores exported to data/clean/ml_scores.csv.</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Anomaly Detection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Z-score and Isolation Forest applied to P&amp;L + BS + CF metrics. Agreement rate measured. Confirmed anomalies exported to anomaly_flags.csv.</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Sector Clustering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K-Means (K=5) with StandardScaler. PCA to 2D for visualisation. Elbow method for K selection. Cluster assignments exported.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Peer Comparison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Cosine similarity on 5-metric feature vector. Validated (TCS peers should include INFY/WIPRO). Full peer mapping table exported.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Revenue Forecasting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Linear regression trend classification (UP/FLAT/DOWN) for all companies. 1-year revenue forecasts with 90% CI for top 20 companies. Exported with disclaimer.</w:t>
            </w:r>
          </w:p>
        </w:tc>
      </w:tr>
    </w:tbl>
    <w:p>
      <w:pPr>
        <w:pBdr>
          <w:bottom w:val="single" w:color="CCCCCC" w:sz="2" w:space="1"/>
        </w:pBdr>
        <w:spacing w:after="160" w:before="1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9. Test Results</w:t>
      </w:r>
    </w:p>
    <w:p>
      <w:pPr>
        <w:spacing w:after="80" w:before="60" w:line="340"/>
      </w:pPr>
      <w:r>
        <w:rPr>
          <w:rFonts w:ascii="Arial" w:cs="Arial" w:eastAsia="Arial" w:hAnsi="Arial"/>
          <w:color w:val="1A202C"/>
          <w:sz w:val="22"/>
          <w:szCs w:val="22"/>
        </w:rPr>
        <w:t xml:space="preserve">22 automated tests are written in django_app/companies/tests.py and all pass. Tests are divided across three test classes: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Test Class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Tests</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Coverage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DataServiceTests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get_all_companies(), get_company(), get_chart_data(), search_companies(), screener filters, health score range validation, label validation</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PageTests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HTTP 200 on all 6 pages. 404 on invalid company symbol and invalid sector.</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APITests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JSON response structure, chart data key validation, screener filter correctness, POST rejection (405)</w:t>
            </w:r>
          </w:p>
        </w:tc>
      </w:tr>
    </w:tbl>
    <w:p>
      <w:pPr>
        <w:spacing w:after="0" w:before="0"/>
      </w:pPr>
      <w:r>
        <w:t xml:space="preserve"/>
      </w:r>
    </w:p>
    <w:p>
      <w:pPr>
        <w:spacing w:after="80" w:before="60" w:line="340"/>
      </w:pPr>
      <w:r>
        <w:rPr>
          <w:rFonts w:ascii="Courier New" w:cs="Courier New" w:eastAsia="Courier New" w:hAnsi="Courier New"/>
          <w:color w:val="1F4E79"/>
          <w:sz w:val="20"/>
          <w:szCs w:val="20"/>
        </w:rPr>
        <w:t xml:space="preserve">Run command: cd django_app &amp;&amp; python manage.py test companies --verbosity=2</w:t>
      </w:r>
    </w:p>
    <w:p>
      <w:pPr>
        <w:spacing w:after="80" w:before="60" w:line="340"/>
      </w:pPr>
      <w:r>
        <w:rPr>
          <w:rFonts w:ascii="Arial" w:cs="Arial" w:eastAsia="Arial" w:hAnsi="Arial"/>
          <w:b/>
          <w:bCs/>
          <w:color w:val="1A6B3A"/>
          <w:sz w:val="22"/>
          <w:szCs w:val="22"/>
        </w:rPr>
        <w:t xml:space="preserve">Result: Ran 22 tests in 5.58s — OK</w:t>
      </w:r>
    </w:p>
    <w:p>
      <w:pPr>
        <w:pBdr>
          <w:bottom w:val="single" w:color="CCCCCC" w:sz="2" w:space="1"/>
        </w:pBdr>
        <w:spacing w:after="160" w:before="1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10.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Path</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Contents</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etl/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01_extract_from_excel.py, 02_clean_and_transform.py, 03_load_to_warehouse.py, schema.sql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data/raw/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Raw CSVs extracted from Excel source files (7 tables)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data/clean/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Cleaned CSVs with computed columns, sector mapping, ML scores, anomaly flags, peer mapping</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django_app/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Complete Django project: bluestock/ (settings, urls, wsgi), companies/ (views, data_service, urls, tests), dashboard/, templates/ (7 HTML files), data/ (CSVs)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django_app/run.py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One-click launcher — installs deps, runs migrations, starts server at http://localhost:8000</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pPr>
            <w:r>
              <w:rPr>
                <w:rFonts w:ascii="Arial" w:cs="Arial" w:eastAsia="Arial" w:hAnsi="Arial"/>
                <w:b/>
                <w:bCs/>
                <w:color w:val="1A202C"/>
                <w:sz w:val="20"/>
                <w:szCs w:val="20"/>
              </w:rPr>
              <w:t xml:space="preserve">notebooks/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01_eda.py, 02_health_scoring.py, 03_to_06_ml_analytics.py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powerbi/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Folder for 7 PBIX dashboard files (built in Power BI Desktop)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requirements.txt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All Python dependencies pinned: pandas, numpy, django, scikit-learn, celery, pytest, etc.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docker-compose.yml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Full local stack: PostgreSQL 15, Redis 7, Django web, Celery worker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.gitignore / .env.example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202C"/>
                <w:sz w:val="20"/>
                <w:szCs w:val="20"/>
              </w:rPr>
              <w:t xml:space="preserve">Git exclusions (venv, .env, pycache, sqlite) and environment variable template</w:t>
            </w:r>
          </w:p>
        </w:tc>
      </w:tr>
    </w:tbl>
    <w:p>
      <w:pPr>
        <w:pBdr>
          <w:bottom w:val="single" w:color="CCCCCC" w:sz="2" w:space="1"/>
        </w:pBdr>
        <w:spacing w:after="160" w:before="1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11. Quick Start Guide</w:t>
      </w:r>
    </w:p>
    <w:p>
      <w:pPr>
        <w:pStyle w:val="Heading2"/>
        <w:spacing w:after="100" w:before="260"/>
      </w:pPr>
      <w:r>
        <w:rPr>
          <w:rFonts w:ascii="Arial" w:cs="Arial" w:eastAsia="Arial" w:hAnsi="Arial"/>
          <w:b/>
          <w:bCs/>
          <w:color w:val="2E75B6"/>
          <w:sz w:val="26"/>
          <w:szCs w:val="26"/>
        </w:rPr>
        <w:t xml:space="preserve">Run the Website (No PostgreSQL Required)</w:t>
      </w:r>
    </w:p>
    <w:p>
      <w:pPr>
        <w:spacing w:after="80" w:before="60" w:line="340"/>
      </w:pPr>
      <w:r>
        <w:rPr>
          <w:rFonts w:ascii="Arial" w:cs="Arial" w:eastAsia="Arial" w:hAnsi="Arial"/>
          <w:b/>
          <w:bCs/>
          <w:color w:val="1A202C"/>
          <w:sz w:val="22"/>
          <w:szCs w:val="22"/>
        </w:rPr>
        <w:t xml:space="preserve">Step 1 — Install Python dependencies:</w:t>
      </w:r>
    </w:p>
    <w:p>
      <w:pPr>
        <w:spacing w:after="80" w:before="60" w:line="340"/>
      </w:pPr>
      <w:r>
        <w:rPr>
          <w:rFonts w:ascii="Courier New" w:cs="Courier New" w:eastAsia="Courier New" w:hAnsi="Courier New"/>
          <w:color w:val="1F4E79"/>
          <w:sz w:val="20"/>
          <w:szCs w:val="20"/>
        </w:rPr>
        <w:t xml:space="preserve">pip install django pandas numpy openpyxl</w:t>
      </w:r>
    </w:p>
    <w:p>
      <w:pPr>
        <w:spacing w:after="0" w:before="0"/>
      </w:pPr>
      <w:r>
        <w:t xml:space="preserve"/>
      </w:r>
    </w:p>
    <w:p>
      <w:pPr>
        <w:spacing w:after="80" w:before="60" w:line="340"/>
      </w:pPr>
      <w:r>
        <w:rPr>
          <w:rFonts w:ascii="Arial" w:cs="Arial" w:eastAsia="Arial" w:hAnsi="Arial"/>
          <w:b/>
          <w:bCs/>
          <w:color w:val="1A202C"/>
          <w:sz w:val="22"/>
          <w:szCs w:val="22"/>
        </w:rPr>
        <w:t xml:space="preserve">Step 2 — Launch the server:</w:t>
      </w:r>
    </w:p>
    <w:p>
      <w:pPr>
        <w:spacing w:after="80" w:before="60" w:line="340"/>
      </w:pPr>
      <w:r>
        <w:rPr>
          <w:rFonts w:ascii="Courier New" w:cs="Courier New" w:eastAsia="Courier New" w:hAnsi="Courier New"/>
          <w:color w:val="1F4E79"/>
          <w:sz w:val="20"/>
          <w:szCs w:val="20"/>
        </w:rPr>
        <w:t xml:space="preserve">cd django_app &amp;&amp; python run.py</w:t>
      </w:r>
    </w:p>
    <w:p>
      <w:pPr>
        <w:spacing w:after="0" w:before="0"/>
      </w:pPr>
      <w:r>
        <w:t xml:space="preserve"/>
      </w:r>
    </w:p>
    <w:p>
      <w:pPr>
        <w:spacing w:after="80" w:before="60" w:line="340"/>
      </w:pPr>
      <w:r>
        <w:rPr>
          <w:rFonts w:ascii="Arial" w:cs="Arial" w:eastAsia="Arial" w:hAnsi="Arial"/>
          <w:b/>
          <w:bCs/>
          <w:color w:val="1A202C"/>
          <w:sz w:val="22"/>
          <w:szCs w:val="22"/>
        </w:rPr>
        <w:t xml:space="preserve">Step 3 — Open your browser:</w:t>
      </w:r>
    </w:p>
    <w:p>
      <w:pPr>
        <w:spacing w:after="80" w:before="60" w:line="340"/>
      </w:pPr>
      <w:r>
        <w:rPr>
          <w:rFonts w:ascii="Courier New" w:cs="Courier New" w:eastAsia="Courier New" w:hAnsi="Courier New"/>
          <w:color w:val="1F4E79"/>
          <w:sz w:val="20"/>
          <w:szCs w:val="20"/>
        </w:rPr>
        <w:t xml:space="preserve">http://localhost:8000</w:t>
      </w:r>
    </w:p>
    <w:p>
      <w:pPr>
        <w:spacing w:after="0" w:before="0"/>
      </w:pPr>
      <w:r>
        <w:t xml:space="preserve"/>
      </w:r>
    </w:p>
    <w:p>
      <w:pPr>
        <w:pStyle w:val="Heading2"/>
        <w:spacing w:after="100" w:before="260"/>
      </w:pPr>
      <w:r>
        <w:rPr>
          <w:rFonts w:ascii="Arial" w:cs="Arial" w:eastAsia="Arial" w:hAnsi="Arial"/>
          <w:b/>
          <w:bCs/>
          <w:color w:val="2E75B6"/>
          <w:sz w:val="26"/>
          <w:szCs w:val="26"/>
        </w:rPr>
        <w:t xml:space="preserve">Run the Full Stack with PostgreSQL</w:t>
      </w:r>
    </w:p>
    <w:p>
      <w:pPr>
        <w:spacing w:after="80" w:before="60" w:line="340"/>
      </w:pPr>
      <w:r>
        <w:rPr>
          <w:rFonts w:ascii="Arial" w:cs="Arial" w:eastAsia="Arial" w:hAnsi="Arial"/>
          <w:b/>
          <w:bCs/>
          <w:color w:val="1A202C"/>
          <w:sz w:val="22"/>
          <w:szCs w:val="22"/>
        </w:rPr>
        <w:t xml:space="preserve">Step 1 — Start all services:</w:t>
      </w:r>
    </w:p>
    <w:p>
      <w:pPr>
        <w:spacing w:after="80" w:before="60" w:line="340"/>
      </w:pPr>
      <w:r>
        <w:rPr>
          <w:rFonts w:ascii="Courier New" w:cs="Courier New" w:eastAsia="Courier New" w:hAnsi="Courier New"/>
          <w:color w:val="1F4E79"/>
          <w:sz w:val="20"/>
          <w:szCs w:val="20"/>
        </w:rPr>
        <w:t xml:space="preserve">docker-compose up --build</w:t>
      </w:r>
    </w:p>
    <w:p>
      <w:pPr>
        <w:spacing w:after="0" w:before="0"/>
      </w:pPr>
      <w:r>
        <w:t xml:space="preserve"/>
      </w:r>
    </w:p>
    <w:p>
      <w:pPr>
        <w:spacing w:after="80" w:before="60" w:line="340"/>
      </w:pPr>
      <w:r>
        <w:rPr>
          <w:rFonts w:ascii="Arial" w:cs="Arial" w:eastAsia="Arial" w:hAnsi="Arial"/>
          <w:b/>
          <w:bCs/>
          <w:color w:val="1A202C"/>
          <w:sz w:val="22"/>
          <w:szCs w:val="22"/>
        </w:rPr>
        <w:t xml:space="preserve">Step 2 — Run the ETL pipeline:</w:t>
      </w:r>
    </w:p>
    <w:p>
      <w:pPr>
        <w:spacing w:after="80" w:before="60" w:line="340"/>
      </w:pPr>
      <w:r>
        <w:rPr>
          <w:rFonts w:ascii="Courier New" w:cs="Courier New" w:eastAsia="Courier New" w:hAnsi="Courier New"/>
          <w:color w:val="1F4E79"/>
          <w:sz w:val="20"/>
          <w:szCs w:val="20"/>
        </w:rPr>
        <w:t xml:space="preserve">python etl/01_extract_from_excel.py</w:t>
      </w:r>
    </w:p>
    <w:p>
      <w:pPr>
        <w:spacing w:after="80" w:before="60" w:line="340"/>
      </w:pPr>
      <w:r>
        <w:rPr>
          <w:rFonts w:ascii="Courier New" w:cs="Courier New" w:eastAsia="Courier New" w:hAnsi="Courier New"/>
          <w:color w:val="1F4E79"/>
          <w:sz w:val="20"/>
          <w:szCs w:val="20"/>
        </w:rPr>
        <w:t xml:space="preserve">python etl/02_clean_and_transform.py</w:t>
      </w:r>
    </w:p>
    <w:p>
      <w:pPr>
        <w:spacing w:after="80" w:before="60" w:line="340"/>
      </w:pPr>
      <w:r>
        <w:rPr>
          <w:rFonts w:ascii="Courier New" w:cs="Courier New" w:eastAsia="Courier New" w:hAnsi="Courier New"/>
          <w:color w:val="1F4E79"/>
          <w:sz w:val="20"/>
          <w:szCs w:val="20"/>
        </w:rPr>
        <w:t xml:space="preserve">python etl/03_load_to_warehouse.py</w:t>
      </w:r>
    </w:p>
    <w:p>
      <w:pPr>
        <w:spacing w:after="0" w:before="0"/>
      </w:pPr>
      <w:r>
        <w:t xml:space="preserve"/>
      </w:r>
    </w:p>
    <w:p>
      <w:pPr>
        <w:pStyle w:val="Heading2"/>
        <w:spacing w:after="100" w:before="260"/>
      </w:pPr>
      <w:r>
        <w:rPr>
          <w:rFonts w:ascii="Arial" w:cs="Arial" w:eastAsia="Arial" w:hAnsi="Arial"/>
          <w:b/>
          <w:bCs/>
          <w:color w:val="2E75B6"/>
          <w:sz w:val="26"/>
          <w:szCs w:val="26"/>
        </w:rPr>
        <w:t xml:space="preserve">Run Tests</w:t>
      </w:r>
    </w:p>
    <w:p>
      <w:pPr>
        <w:spacing w:after="80" w:before="60" w:line="340"/>
      </w:pPr>
      <w:r>
        <w:rPr>
          <w:rFonts w:ascii="Courier New" w:cs="Courier New" w:eastAsia="Courier New" w:hAnsi="Courier New"/>
          <w:color w:val="1F4E79"/>
          <w:sz w:val="20"/>
          <w:szCs w:val="20"/>
        </w:rPr>
        <w:t xml:space="preserve">cd django_app &amp;&amp; python manage.py test companies --verbosity=2</w:t>
      </w:r>
    </w:p>
    <w:p>
      <w:pPr>
        <w:spacing w:after="0" w:before="0"/>
      </w:pPr>
      <w:r>
        <w:t xml:space="preserve"/>
      </w:r>
    </w:p>
    <w:p>
      <w:pPr>
        <w:pStyle w:val="Heading2"/>
        <w:spacing w:after="100" w:before="260"/>
      </w:pPr>
      <w:r>
        <w:rPr>
          <w:rFonts w:ascii="Arial" w:cs="Arial" w:eastAsia="Arial" w:hAnsi="Arial"/>
          <w:b/>
          <w:bCs/>
          <w:color w:val="2E75B6"/>
          <w:sz w:val="26"/>
          <w:szCs w:val="26"/>
        </w:rPr>
        <w:t xml:space="preserve">Useful Demo URLs</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http://localhost:8000/company/TCS/ — TCS company detail with all 8 charts</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http://localhost:8000/company/HDFCBANK/ — HDFC Bank analysis</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http://localhost:8000/screener/?label=EXCELLENT — Filter excellent companies</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http://localhost:8000/compare/?s=TCS&amp;s=INFY&amp;s=WIPRO — IT sector comparison</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http://localhost:8000/sector/Banking/ — All banking companies ranked</w:t>
      </w:r>
    </w:p>
    <w:p>
      <w:pPr>
        <w:pStyle w:val="ListParagraph"/>
        <w:numPr>
          <w:ilvl w:val="0"/>
          <w:numId w:val="2"/>
        </w:numPr>
        <w:spacing w:after="40" w:before="40" w:line="320"/>
      </w:pPr>
      <w:r>
        <w:rPr>
          <w:rFonts w:ascii="Arial" w:cs="Arial" w:eastAsia="Arial" w:hAnsi="Arial"/>
          <w:b w:val="false"/>
          <w:bCs w:val="false"/>
          <w:color w:val="1A202C"/>
          <w:sz w:val="21"/>
          <w:szCs w:val="21"/>
        </w:rPr>
        <w:t xml:space="preserve">http://localhost:8000/api/charts/TCS/ — Raw JSON API response</w:t>
      </w:r>
    </w:p>
    <w:p>
      <w:pPr>
        <w:pBdr>
          <w:bottom w:val="single" w:color="CCCCCC" w:sz="2" w:space="1"/>
        </w:pBdr>
        <w:spacing w:after="160" w:before="1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12. Disclaimer</w:t>
      </w:r>
    </w:p>
    <w:p>
      <w:pPr>
        <w:spacing w:after="80" w:before="60" w:line="340"/>
      </w:pPr>
      <w:r>
        <w:rPr>
          <w:rFonts w:ascii="Arial" w:cs="Arial" w:eastAsia="Arial" w:hAnsi="Arial"/>
          <w:i/>
          <w:iCs/>
          <w:color w:val="1A202C"/>
          <w:sz w:val="22"/>
          <w:szCs w:val="22"/>
        </w:rPr>
        <w:t xml:space="preserve">This project is built for educational purposes as part of an internship at Bluestock Fintech. All financial data displayed is sourced from public disclosures and historical records. The health scores, forecasts, anomaly flags, and peer comparisons produced by the machine learning models are algorithmic estimates and must not be interpreted as investment advice, financial recommendations, or professional financial analysis.</w:t>
      </w:r>
    </w:p>
    <w:p>
      <w:pPr>
        <w:spacing w:after="0" w:before="0"/>
      </w:pPr>
      <w:r>
        <w:t xml:space="preserve"/>
      </w:r>
    </w:p>
    <w:p>
      <w:pPr>
        <w:spacing w:after="80" w:before="60" w:line="340"/>
      </w:pPr>
      <w:r>
        <w:rPr>
          <w:rFonts w:ascii="Arial" w:cs="Arial" w:eastAsia="Arial" w:hAnsi="Arial"/>
          <w:b/>
          <w:bCs/>
          <w:i/>
          <w:iCs/>
          <w:color w:val="1A202C"/>
          <w:sz w:val="22"/>
          <w:szCs w:val="22"/>
        </w:rPr>
        <w:t xml:space="preserve">Past financial performance is not indicative of future results. Always consult a SEBI-registered financial advisor before making investment decisions.</w:t>
      </w:r>
    </w:p>
    <w:p>
      <w:pPr>
        <w:spacing w:after="0" w:before="0"/>
      </w:pPr>
      <w:r>
        <w:t xml:space="preserve"/>
      </w:r>
    </w:p>
    <w:p>
      <w:pPr>
        <w:spacing w:after="0" w:before="0"/>
      </w:pPr>
      <w:r>
        <w:t xml:space="preserve"/>
      </w:r>
    </w:p>
    <w:p>
      <w:pPr>
        <w:spacing w:after="0" w:before="240"/>
        <w:jc w:val="center"/>
      </w:pPr>
      <w:r>
        <w:rPr>
          <w:rFonts w:ascii="Arial" w:cs="Arial" w:eastAsia="Arial" w:hAnsi="Arial"/>
          <w:i/>
          <w:iCs/>
          <w:color w:val="718096"/>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spacing w:after="0" w:before="80"/>
    </w:pPr>
    <w:r>
      <w:rPr>
        <w:rFonts w:ascii="Arial" w:cs="Arial" w:eastAsia="Arial" w:hAnsi="Arial"/>
        <w:color w:val="718096"/>
        <w:sz w:val="16"/>
        <w:szCs w:val="16"/>
      </w:rPr>
      <w:t xml:space="preserve">Bluestock Fintech | B100 Intelligence Platform | Intern Project</w:t>
    </w:r>
    <w:r>
      <w:rPr>
        <w:rFonts w:ascii="Arial" w:cs="Arial" w:eastAsia="Arial" w:hAnsi="Arial"/>
        <w:sz w:val="16"/>
        <w:szCs w:val="16"/>
      </w:rPr>
      <w:t xml:space="preserve">	</w:t>
    </w:r>
    <w:r>
      <w:rPr>
        <w:rFonts w:ascii="Arial" w:cs="Arial" w:eastAsia="Arial" w:hAnsi="Arial"/>
        <w:color w:val="718096"/>
        <w:sz w:val="16"/>
        <w:szCs w:val="16"/>
      </w:rPr>
      <w:t xml:space="preserve">Page </w:t>
    </w:r>
    <w:r>
      <w:rPr>
        <w:rFonts w:ascii="Arial" w:cs="Arial" w:eastAsia="Arial" w:hAnsi="Arial"/>
        <w:color w:val="718096"/>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spacing w:after="80" w:before="0"/>
    </w:pPr>
    <w:r>
      <w:rPr>
        <w:rFonts w:ascii="Arial" w:cs="Arial" w:eastAsia="Arial" w:hAnsi="Arial"/>
        <w:b/>
        <w:bCs/>
        <w:color w:val="1F4E79"/>
        <w:sz w:val="18"/>
        <w:szCs w:val="18"/>
      </w:rPr>
      <w:t xml:space="preserve">B100-Bluestock Fintech — Project Documentation</w:t>
    </w:r>
    <w:r>
      <w:rPr>
        <w:rFonts w:ascii="Arial" w:cs="Arial" w:eastAsia="Arial" w:hAnsi="Arial"/>
        <w:sz w:val="18"/>
        <w:szCs w:val="18"/>
      </w:rPr>
      <w:t xml:space="preserve">	</w:t>
    </w:r>
    <w:r>
      <w:rPr>
        <w:rFonts w:ascii="Arial" w:cs="Arial" w:eastAsia="Arial" w:hAnsi="Arial"/>
        <w:color w:val="718096"/>
        <w:sz w:val="18"/>
        <w:szCs w:val="18"/>
      </w:rPr>
      <w:t xml:space="preserve">Confidential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2026-06-08T04:54:26.897Z</dcterms:created>
  <dcterms:modified xsi:type="dcterms:W3CDTF">2026-06-08T04:54:26.897Z</dcterms:modified>
</cp:coreProperties>
</file>

<file path=docProps/custom.xml><?xml version="1.0" encoding="utf-8"?>
<Properties xmlns="http://schemas.openxmlformats.org/officeDocument/2006/custom-properties" xmlns:vt="http://schemas.openxmlformats.org/officeDocument/2006/docPropsVTypes"/>
</file>