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0C54A4" w14:textId="01C2B770" w:rsidR="00B75405" w:rsidRDefault="00B75405">
      <w:pPr>
        <w:rPr>
          <w:b/>
          <w:noProof/>
        </w:rPr>
      </w:pPr>
      <w:r>
        <w:rPr>
          <w:b/>
          <w:noProof/>
        </w:rPr>
        <w:t>Date of Ice Break and Ice Freeze</w:t>
      </w:r>
    </w:p>
    <w:p w14:paraId="3C180D4B" w14:textId="77777777" w:rsidR="00B75405" w:rsidRPr="00B75405" w:rsidRDefault="00B75405">
      <w:pPr>
        <w:rPr>
          <w:b/>
          <w:noProof/>
        </w:rPr>
      </w:pPr>
    </w:p>
    <w:p w14:paraId="789E430E" w14:textId="77777777" w:rsidR="00F963DA" w:rsidRDefault="009509BE">
      <w:pPr>
        <w:rPr>
          <w:noProof/>
        </w:rPr>
      </w:pPr>
      <w:r>
        <w:rPr>
          <w:noProof/>
        </w:rPr>
        <w:drawing>
          <wp:inline distT="0" distB="0" distL="0" distR="0" wp14:anchorId="7718984C" wp14:editId="347E3036">
            <wp:extent cx="5932667" cy="4965405"/>
            <wp:effectExtent l="0" t="0" r="11430" b="0"/>
            <wp:docPr id="2" name="Picture 2" descr="/Users/krsalkgu/Documents/MATLAB/KRS_ELA_Model/L227_application/Model Output Evaluations/September 2017 Evaluations/Ice On and Off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krsalkgu/Documents/MATLAB/KRS_ELA_Model/L227_application/Model Output Evaluations/September 2017 Evaluations/Ice On and Off.pdf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27" b="17979"/>
                    <a:stretch/>
                  </pic:blipFill>
                  <pic:spPr bwMode="auto">
                    <a:xfrm>
                      <a:off x="0" y="0"/>
                      <a:ext cx="5932805" cy="4965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B8052" w14:textId="66A30A13" w:rsidR="00B75405" w:rsidRDefault="00B75405">
      <w:pPr>
        <w:rPr>
          <w:noProof/>
        </w:rPr>
      </w:pPr>
      <w:r>
        <w:rPr>
          <w:noProof/>
        </w:rPr>
        <w:t>Solid = observed (Lake 239, up to 1 week different than L227)</w:t>
      </w:r>
    </w:p>
    <w:p w14:paraId="2603F837" w14:textId="01561620" w:rsidR="00B75405" w:rsidRDefault="00B75405">
      <w:pPr>
        <w:rPr>
          <w:noProof/>
        </w:rPr>
      </w:pPr>
      <w:r>
        <w:rPr>
          <w:noProof/>
        </w:rPr>
        <w:t>Dotted = modeled</w:t>
      </w:r>
    </w:p>
    <w:p w14:paraId="477FCD0D" w14:textId="77777777" w:rsidR="00B75405" w:rsidRDefault="00B75405">
      <w:pPr>
        <w:rPr>
          <w:noProof/>
        </w:rPr>
      </w:pPr>
    </w:p>
    <w:p w14:paraId="0CEA420B" w14:textId="39A541A5" w:rsidR="00B75405" w:rsidRDefault="00B75405">
      <w:pPr>
        <w:rPr>
          <w:noProof/>
        </w:rPr>
      </w:pPr>
      <w:r>
        <w:rPr>
          <w:noProof/>
        </w:rPr>
        <w:t>Ice break predicted to occur later than observed (RMSE = 5.25 days)</w:t>
      </w:r>
    </w:p>
    <w:p w14:paraId="12398C0D" w14:textId="4D99E340" w:rsidR="00B75405" w:rsidRDefault="00B75405">
      <w:pPr>
        <w:rPr>
          <w:noProof/>
        </w:rPr>
      </w:pPr>
      <w:r>
        <w:rPr>
          <w:noProof/>
        </w:rPr>
        <w:t>Ice freeze predicted to occur earlier than observed (RMSE = 16.5 days)</w:t>
      </w:r>
    </w:p>
    <w:p w14:paraId="13D42B9D" w14:textId="77777777" w:rsidR="00B75405" w:rsidRDefault="00B75405">
      <w:pPr>
        <w:rPr>
          <w:noProof/>
        </w:rPr>
      </w:pPr>
    </w:p>
    <w:p w14:paraId="23AFF774" w14:textId="7BC9800A" w:rsidR="00B75405" w:rsidRDefault="00B75405">
      <w:pPr>
        <w:rPr>
          <w:noProof/>
        </w:rPr>
      </w:pPr>
      <w:r>
        <w:rPr>
          <w:noProof/>
        </w:rPr>
        <w:t xml:space="preserve">Influential factors: </w:t>
      </w:r>
    </w:p>
    <w:p w14:paraId="30B4D184" w14:textId="7020BAC6" w:rsidR="00B75405" w:rsidRDefault="00B75405" w:rsidP="00B75405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Albedo of ice and snow (break, not freeze)</w:t>
      </w:r>
    </w:p>
    <w:p w14:paraId="32CFFCC4" w14:textId="478EB691" w:rsidR="00B75405" w:rsidRDefault="00B75405" w:rsidP="00B75405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Inflow temperature</w:t>
      </w:r>
    </w:p>
    <w:p w14:paraId="32AA3A63" w14:textId="6B6FC204" w:rsidR="00B75405" w:rsidRDefault="00B75405" w:rsidP="00B75405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Inflow volume</w:t>
      </w:r>
    </w:p>
    <w:p w14:paraId="48FEA0E8" w14:textId="0A5C38AE" w:rsidR="00B75405" w:rsidRDefault="00B75405" w:rsidP="00B75405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Air temperature</w:t>
      </w:r>
    </w:p>
    <w:p w14:paraId="3972F636" w14:textId="3CA591FA" w:rsidR="00B75405" w:rsidRDefault="00B75405" w:rsidP="00B75405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Wind speed</w:t>
      </w:r>
    </w:p>
    <w:p w14:paraId="0EF7347E" w14:textId="7B01D293" w:rsidR="00B75405" w:rsidRDefault="00F00E0F" w:rsidP="00B75405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Lake temperature stratification</w:t>
      </w:r>
    </w:p>
    <w:p w14:paraId="17C65DE3" w14:textId="77777777" w:rsidR="00B75405" w:rsidRDefault="00B75405">
      <w:pPr>
        <w:rPr>
          <w:noProof/>
        </w:rPr>
      </w:pPr>
    </w:p>
    <w:p w14:paraId="64AFBC0D" w14:textId="77777777" w:rsidR="00E21A89" w:rsidRDefault="00E21A89"/>
    <w:p w14:paraId="44CE27C6" w14:textId="33D8A3BB" w:rsidR="00E21A89" w:rsidRPr="00E21A89" w:rsidRDefault="00E21A89">
      <w:pPr>
        <w:rPr>
          <w:b/>
        </w:rPr>
      </w:pPr>
      <w:r>
        <w:rPr>
          <w:b/>
        </w:rPr>
        <w:lastRenderedPageBreak/>
        <w:t>Temperature</w:t>
      </w:r>
    </w:p>
    <w:p w14:paraId="6A7F5F0D" w14:textId="0D13BD70" w:rsidR="00D8328A" w:rsidRDefault="00E21A89">
      <w:r>
        <w:rPr>
          <w:noProof/>
        </w:rPr>
        <w:drawing>
          <wp:anchor distT="0" distB="0" distL="114300" distR="114300" simplePos="0" relativeHeight="251658240" behindDoc="0" locked="0" layoutInCell="1" allowOverlap="1" wp14:anchorId="75DAC09B" wp14:editId="1A7E7798">
            <wp:simplePos x="0" y="0"/>
            <wp:positionH relativeFrom="column">
              <wp:posOffset>80158</wp:posOffset>
            </wp:positionH>
            <wp:positionV relativeFrom="paragraph">
              <wp:posOffset>4662170</wp:posOffset>
            </wp:positionV>
            <wp:extent cx="3285460" cy="3368972"/>
            <wp:effectExtent l="0" t="0" r="0" b="9525"/>
            <wp:wrapSquare wrapText="bothSides"/>
            <wp:docPr id="5" name="Picture 5" descr="/Users/krsalkgu/Documents/MATLAB/KRS_ELA_Model/L227_application/Model Output Evaluations/September 2017 Evaluations/Temp Regression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krsalkgu/Documents/MATLAB/KRS_ELA_Model/L227_application/Model Output Evaluations/September 2017 Evaluations/Temp Regression.pdf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52" t="24482" r="18375" b="24337"/>
                    <a:stretch/>
                  </pic:blipFill>
                  <pic:spPr bwMode="auto">
                    <a:xfrm>
                      <a:off x="0" y="0"/>
                      <a:ext cx="3285460" cy="3368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567ED">
        <w:rPr>
          <w:noProof/>
        </w:rPr>
        <w:drawing>
          <wp:inline distT="0" distB="0" distL="0" distR="0" wp14:anchorId="22D9FC8D" wp14:editId="44BEBEEF">
            <wp:extent cx="5932170" cy="4574540"/>
            <wp:effectExtent l="0" t="0" r="11430" b="0"/>
            <wp:docPr id="4" name="Picture 4" descr="/Users/krsalkgu/Documents/MATLAB/KRS_ELA_Model/L227_application/Model Output Evaluations/September 2017 Evaluations/Temp.pdf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krsalkgu/Documents/MATLAB/KRS_ELA_Model/L227_application/Model Output Evaluations/September 2017 Evaluations/Temp.pdf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14" b="16873"/>
                    <a:stretch/>
                  </pic:blipFill>
                  <pic:spPr bwMode="auto">
                    <a:xfrm>
                      <a:off x="0" y="0"/>
                      <a:ext cx="5932805" cy="457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1BCD9" w14:textId="77777777" w:rsidR="00D8328A" w:rsidRPr="00D8328A" w:rsidRDefault="00D8328A" w:rsidP="00D8328A"/>
    <w:p w14:paraId="49573AD1" w14:textId="4E4066A1" w:rsidR="009509BE" w:rsidRDefault="00D8328A" w:rsidP="00D8328A">
      <w:r>
        <w:t xml:space="preserve">Epilimnion and hypolimnion temperatures are well-predicted. Metalimnion temperatures are predicted to be lower than observed. </w:t>
      </w:r>
    </w:p>
    <w:p w14:paraId="5CC6B5FC" w14:textId="77777777" w:rsidR="00D8328A" w:rsidRDefault="00D8328A" w:rsidP="00D8328A"/>
    <w:p w14:paraId="17ADFF6A" w14:textId="018FE1D8" w:rsidR="00D8328A" w:rsidRDefault="00D8328A" w:rsidP="00D8328A">
      <w:r>
        <w:t xml:space="preserve">Influential factors: </w:t>
      </w:r>
    </w:p>
    <w:p w14:paraId="092C3F95" w14:textId="2823BD1B" w:rsidR="00D8328A" w:rsidRPr="00D8328A" w:rsidRDefault="00D8328A" w:rsidP="00D8328A">
      <w:pPr>
        <w:pStyle w:val="ListParagraph"/>
        <w:numPr>
          <w:ilvl w:val="0"/>
          <w:numId w:val="2"/>
        </w:numPr>
      </w:pPr>
      <w:r>
        <w:t xml:space="preserve">POM in the epilimnion blocks light </w:t>
      </w:r>
      <w:r>
        <w:sym w:font="Wingdings" w:char="F0E0"/>
      </w:r>
      <w:r>
        <w:t xml:space="preserve"> blocks heat exchange</w:t>
      </w:r>
    </w:p>
    <w:p w14:paraId="2B170773" w14:textId="16CAAD2A" w:rsidR="00E21A89" w:rsidRDefault="00E21A89"/>
    <w:p w14:paraId="7861EA9D" w14:textId="77777777" w:rsidR="00006CFB" w:rsidRDefault="00006CFB"/>
    <w:p w14:paraId="5F727861" w14:textId="77777777" w:rsidR="00006CFB" w:rsidRDefault="00006CFB"/>
    <w:p w14:paraId="4580F815" w14:textId="77777777" w:rsidR="00006CFB" w:rsidRDefault="00006CFB"/>
    <w:p w14:paraId="7FBA051B" w14:textId="77777777" w:rsidR="00006CFB" w:rsidRDefault="00006CFB"/>
    <w:p w14:paraId="1E62E7F4" w14:textId="77777777" w:rsidR="00006CFB" w:rsidRDefault="00006CFB"/>
    <w:p w14:paraId="53693AF4" w14:textId="77777777" w:rsidR="00006CFB" w:rsidRDefault="00006CFB"/>
    <w:p w14:paraId="07078F24" w14:textId="77777777" w:rsidR="00006CFB" w:rsidRDefault="00006CFB"/>
    <w:p w14:paraId="7E1A8D5F" w14:textId="5BAE6A2C" w:rsidR="00D8328A" w:rsidRPr="00D8328A" w:rsidRDefault="00D8328A">
      <w:pPr>
        <w:rPr>
          <w:b/>
        </w:rPr>
      </w:pPr>
      <w:r>
        <w:rPr>
          <w:b/>
        </w:rPr>
        <w:t>Chlorophyll a (proxy for phytoplankton biomass)</w:t>
      </w:r>
    </w:p>
    <w:p w14:paraId="4D2C1325" w14:textId="77777777" w:rsidR="00D8328A" w:rsidRDefault="00B75405">
      <w:r>
        <w:rPr>
          <w:noProof/>
        </w:rPr>
        <w:drawing>
          <wp:inline distT="0" distB="0" distL="0" distR="0" wp14:anchorId="213062A7" wp14:editId="25CDB454">
            <wp:extent cx="3189605" cy="2637155"/>
            <wp:effectExtent l="0" t="0" r="10795" b="4445"/>
            <wp:docPr id="6" name="Picture 6" descr="Chl%20a%20Regression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hl%20a%20Regression.pd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C66021" wp14:editId="4BEDCE4E">
            <wp:extent cx="5943600" cy="2030730"/>
            <wp:effectExtent l="0" t="0" r="0" b="1270"/>
            <wp:docPr id="7" name="Picture 7" descr="Chl%20a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hl%20a.pd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FAAD6" w14:textId="77777777" w:rsidR="00D8328A" w:rsidRDefault="00D8328A"/>
    <w:p w14:paraId="652DC47D" w14:textId="77777777" w:rsidR="00006CFB" w:rsidRDefault="00006CFB">
      <w:r>
        <w:t xml:space="preserve">Highest observed chl a concentrations are underestimated by the model. </w:t>
      </w:r>
    </w:p>
    <w:p w14:paraId="480B0C27" w14:textId="27D7E713" w:rsidR="00006CFB" w:rsidRDefault="00006CFB">
      <w:r>
        <w:t>Chl a concentrations &lt; 50 mg/L are sometimes overestimated by the model.</w:t>
      </w:r>
    </w:p>
    <w:p w14:paraId="20C87A74" w14:textId="77777777" w:rsidR="00006CFB" w:rsidRDefault="00006CFB"/>
    <w:p w14:paraId="460E709C" w14:textId="0F8730D0" w:rsidR="00006CFB" w:rsidRDefault="00006CFB">
      <w:r>
        <w:t xml:space="preserve">Influential factors: </w:t>
      </w:r>
    </w:p>
    <w:p w14:paraId="3302DA8D" w14:textId="31225650" w:rsidR="00006CFB" w:rsidRDefault="00006CFB" w:rsidP="00006CFB">
      <w:pPr>
        <w:pStyle w:val="ListParagraph"/>
        <w:numPr>
          <w:ilvl w:val="0"/>
          <w:numId w:val="2"/>
        </w:numPr>
      </w:pPr>
      <w:r>
        <w:t>Half saturation P concentration for growth (under P limitation)</w:t>
      </w:r>
    </w:p>
    <w:p w14:paraId="1412D281" w14:textId="3CAE6A0C" w:rsidR="00006CFB" w:rsidRDefault="00006CFB" w:rsidP="00006CFB">
      <w:pPr>
        <w:pStyle w:val="ListParagraph"/>
        <w:numPr>
          <w:ilvl w:val="0"/>
          <w:numId w:val="2"/>
        </w:numPr>
      </w:pPr>
      <w:r>
        <w:t>Maximum specific growth rate</w:t>
      </w:r>
    </w:p>
    <w:p w14:paraId="370E5A63" w14:textId="7E94887F" w:rsidR="00006CFB" w:rsidRDefault="00006CFB" w:rsidP="00006CFB">
      <w:pPr>
        <w:pStyle w:val="ListParagraph"/>
        <w:numPr>
          <w:ilvl w:val="0"/>
          <w:numId w:val="2"/>
        </w:numPr>
      </w:pPr>
      <w:r>
        <w:t>Loss rate</w:t>
      </w:r>
    </w:p>
    <w:p w14:paraId="2345663A" w14:textId="34C319ED" w:rsidR="00006CFB" w:rsidRDefault="00006CFB" w:rsidP="00006CFB">
      <w:pPr>
        <w:pStyle w:val="ListParagraph"/>
        <w:numPr>
          <w:ilvl w:val="0"/>
          <w:numId w:val="2"/>
        </w:numPr>
      </w:pPr>
      <w:r>
        <w:t>Specific chl a to P transformation rate</w:t>
      </w:r>
    </w:p>
    <w:p w14:paraId="3BC673E9" w14:textId="4759912E" w:rsidR="00006CFB" w:rsidRDefault="00006CFB" w:rsidP="00006CFB">
      <w:pPr>
        <w:pStyle w:val="ListParagraph"/>
        <w:numPr>
          <w:ilvl w:val="0"/>
          <w:numId w:val="2"/>
        </w:numPr>
      </w:pPr>
      <w:r>
        <w:t>PAR saturation level for phytoplankton growth</w:t>
      </w:r>
    </w:p>
    <w:p w14:paraId="52235BE4" w14:textId="31890CED" w:rsidR="00006CFB" w:rsidRDefault="00006CFB" w:rsidP="00006CFB">
      <w:pPr>
        <w:pStyle w:val="ListParagraph"/>
        <w:numPr>
          <w:ilvl w:val="0"/>
          <w:numId w:val="2"/>
        </w:numPr>
      </w:pPr>
      <w:r>
        <w:t>Settling velocity for chl a</w:t>
      </w:r>
    </w:p>
    <w:p w14:paraId="367E52F7" w14:textId="77777777" w:rsidR="00006CFB" w:rsidRDefault="00006CFB"/>
    <w:p w14:paraId="5A640347" w14:textId="77777777" w:rsidR="006A07A1" w:rsidRDefault="006A07A1"/>
    <w:p w14:paraId="49DE9528" w14:textId="77777777" w:rsidR="006A07A1" w:rsidRDefault="006A07A1"/>
    <w:p w14:paraId="7B0CFB9D" w14:textId="77777777" w:rsidR="006A07A1" w:rsidRDefault="006A07A1"/>
    <w:p w14:paraId="3C1DBF4E" w14:textId="77777777" w:rsidR="006A07A1" w:rsidRDefault="006A07A1"/>
    <w:p w14:paraId="5C40E42F" w14:textId="77777777" w:rsidR="006A07A1" w:rsidRDefault="006A07A1"/>
    <w:p w14:paraId="407EB88A" w14:textId="587A5B53" w:rsidR="006A07A1" w:rsidRPr="006A07A1" w:rsidRDefault="006A07A1">
      <w:pPr>
        <w:rPr>
          <w:b/>
        </w:rPr>
      </w:pPr>
      <w:r>
        <w:rPr>
          <w:b/>
        </w:rPr>
        <w:t>Percent cyanobacteria (in a 2 phytoplankton group situation)</w:t>
      </w:r>
    </w:p>
    <w:p w14:paraId="71C1A46E" w14:textId="77777777" w:rsidR="00006CFB" w:rsidRDefault="00B75405">
      <w:r>
        <w:rPr>
          <w:noProof/>
        </w:rPr>
        <w:drawing>
          <wp:inline distT="0" distB="0" distL="0" distR="0" wp14:anchorId="07CD4A67" wp14:editId="39F26EEA">
            <wp:extent cx="5943600" cy="2689860"/>
            <wp:effectExtent l="0" t="0" r="0" b="2540"/>
            <wp:docPr id="8" name="Picture 8" descr="Percent%20Cyanos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ercent%20Cyanos.pd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E6D25" w14:textId="77777777" w:rsidR="006A07A1" w:rsidRDefault="006A07A1"/>
    <w:p w14:paraId="697E1728" w14:textId="4C567496" w:rsidR="006A07A1" w:rsidRDefault="006A07A1">
      <w:r>
        <w:t>Cyanobacterial growth is predicted to be approximately the same every year. This indicates that P-limited growth is not enough to accurately predict cyanobacterial vs. green algae growth in this system. We may need to add N limitation ot the model.</w:t>
      </w:r>
    </w:p>
    <w:p w14:paraId="671283C8" w14:textId="77777777" w:rsidR="006A07A1" w:rsidRDefault="006A07A1"/>
    <w:p w14:paraId="765503C3" w14:textId="783E6C53" w:rsidR="000B1693" w:rsidRDefault="000B1693">
      <w:r>
        <w:br w:type="page"/>
      </w:r>
    </w:p>
    <w:p w14:paraId="0DCEA83B" w14:textId="4C18A9FD" w:rsidR="00006CFB" w:rsidRPr="000B1693" w:rsidRDefault="000B1693">
      <w:pPr>
        <w:rPr>
          <w:b/>
        </w:rPr>
      </w:pPr>
      <w:r>
        <w:rPr>
          <w:b/>
        </w:rPr>
        <w:t>TDP</w:t>
      </w:r>
    </w:p>
    <w:p w14:paraId="2BC36BAB" w14:textId="77777777" w:rsidR="006A07A1" w:rsidRDefault="00B75405">
      <w:r>
        <w:rPr>
          <w:noProof/>
        </w:rPr>
        <w:drawing>
          <wp:inline distT="0" distB="0" distL="0" distR="0" wp14:anchorId="240D0D77" wp14:editId="7C29AF78">
            <wp:extent cx="3179445" cy="2658110"/>
            <wp:effectExtent l="0" t="0" r="0" b="8890"/>
            <wp:docPr id="9" name="Picture 9" descr="TDP%20Regression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DP%20Regression.pd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445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55C224" wp14:editId="7721E7D7">
            <wp:extent cx="5932805" cy="2009775"/>
            <wp:effectExtent l="0" t="0" r="10795" b="0"/>
            <wp:docPr id="10" name="Picture 10" descr="TDP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DP.pd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1D9BB" w14:textId="77777777" w:rsidR="006A07A1" w:rsidRDefault="006A07A1"/>
    <w:p w14:paraId="2613E118" w14:textId="0250FE74" w:rsidR="006A07A1" w:rsidRDefault="006A07A1">
      <w:r>
        <w:t xml:space="preserve">In general, TDP is overestimated by the model, </w:t>
      </w:r>
      <w:r w:rsidR="002C194A">
        <w:t xml:space="preserve">although spikes in modeled TDP occur during the time of year when sampling does not occur (i.e., under ice). There seems to be a relationship in which </w:t>
      </w:r>
      <w:r w:rsidR="000B1693">
        <w:t>decreasing modeled TDP results in increased modeled Total P (i.e., a tradeoff)</w:t>
      </w:r>
      <w:r>
        <w:br w:type="page"/>
      </w:r>
    </w:p>
    <w:p w14:paraId="4D45A8BC" w14:textId="046714CF" w:rsidR="006A07A1" w:rsidRPr="006A07A1" w:rsidRDefault="006A07A1">
      <w:pPr>
        <w:rPr>
          <w:b/>
        </w:rPr>
      </w:pPr>
      <w:r>
        <w:rPr>
          <w:b/>
        </w:rPr>
        <w:t>Total P (DIP, DOP, PP)</w:t>
      </w:r>
    </w:p>
    <w:p w14:paraId="336E7660" w14:textId="03065C69" w:rsidR="00827439" w:rsidRDefault="00B75405">
      <w:r>
        <w:rPr>
          <w:noProof/>
        </w:rPr>
        <w:drawing>
          <wp:inline distT="0" distB="0" distL="0" distR="0" wp14:anchorId="63F2694C" wp14:editId="0D1C2E19">
            <wp:extent cx="3179445" cy="2637155"/>
            <wp:effectExtent l="0" t="0" r="0" b="4445"/>
            <wp:docPr id="11" name="Picture 11" descr="Total%20P%20Regression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otal%20P%20Regression.pd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44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0984E5" wp14:editId="7EEEB38B">
            <wp:extent cx="5943600" cy="2009775"/>
            <wp:effectExtent l="0" t="0" r="0" b="0"/>
            <wp:docPr id="12" name="Picture 12" descr="Total%20P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otal%20P.pd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5FAE1" w14:textId="77777777" w:rsidR="006A07A1" w:rsidRDefault="006A07A1"/>
    <w:p w14:paraId="71C64D9F" w14:textId="693E1E7B" w:rsidR="006A07A1" w:rsidRDefault="006A07A1">
      <w:r>
        <w:t xml:space="preserve">Total P is underestimated by the model. </w:t>
      </w:r>
      <w:r w:rsidR="000B1693">
        <w:t xml:space="preserve">Increasing the modeled total P concentration results in a decrease in the modeled TDP concentration. </w:t>
      </w:r>
      <w:bookmarkStart w:id="0" w:name="_GoBack"/>
      <w:bookmarkEnd w:id="0"/>
    </w:p>
    <w:p w14:paraId="7616C501" w14:textId="77777777" w:rsidR="007F72A8" w:rsidRDefault="007F72A8"/>
    <w:p w14:paraId="2FC015FF" w14:textId="77777777" w:rsidR="00037B42" w:rsidRDefault="00037B42"/>
    <w:sectPr w:rsidR="00037B42" w:rsidSect="007103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D77A7D"/>
    <w:multiLevelType w:val="hybridMultilevel"/>
    <w:tmpl w:val="A0CE97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8FF0E7E"/>
    <w:multiLevelType w:val="hybridMultilevel"/>
    <w:tmpl w:val="4C5618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7B42"/>
    <w:rsid w:val="00006CFB"/>
    <w:rsid w:val="00037B42"/>
    <w:rsid w:val="000B1693"/>
    <w:rsid w:val="002C194A"/>
    <w:rsid w:val="004312F7"/>
    <w:rsid w:val="006A07A1"/>
    <w:rsid w:val="007103AD"/>
    <w:rsid w:val="007567ED"/>
    <w:rsid w:val="007F72A8"/>
    <w:rsid w:val="00827439"/>
    <w:rsid w:val="009509BE"/>
    <w:rsid w:val="00B75405"/>
    <w:rsid w:val="00D8328A"/>
    <w:rsid w:val="00E21A89"/>
    <w:rsid w:val="00F00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18268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54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emf"/><Relationship Id="rId12" Type="http://schemas.openxmlformats.org/officeDocument/2006/relationships/image" Target="media/image8.emf"/><Relationship Id="rId13" Type="http://schemas.openxmlformats.org/officeDocument/2006/relationships/image" Target="media/image9.emf"/><Relationship Id="rId14" Type="http://schemas.openxmlformats.org/officeDocument/2006/relationships/image" Target="media/image10.emf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6" Type="http://schemas.openxmlformats.org/officeDocument/2006/relationships/image" Target="media/image2.emf"/><Relationship Id="rId7" Type="http://schemas.openxmlformats.org/officeDocument/2006/relationships/image" Target="media/image3.emf"/><Relationship Id="rId8" Type="http://schemas.openxmlformats.org/officeDocument/2006/relationships/image" Target="media/image4.emf"/><Relationship Id="rId9" Type="http://schemas.openxmlformats.org/officeDocument/2006/relationships/image" Target="media/image5.emf"/><Relationship Id="rId10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278</Words>
  <Characters>1585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Kateri Salk</dc:creator>
  <cp:keywords/>
  <dc:description/>
  <cp:lastModifiedBy>Kateri Salk</cp:lastModifiedBy>
  <cp:revision>7</cp:revision>
  <dcterms:created xsi:type="dcterms:W3CDTF">2017-09-13T17:25:00Z</dcterms:created>
  <dcterms:modified xsi:type="dcterms:W3CDTF">2017-09-13T18:22:00Z</dcterms:modified>
</cp:coreProperties>
</file>