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PTrade CTA 策略回测诊断报告</w:t>
      </w:r>
    </w:p>
    <w:p>
      <w:pPr>
        <w:jc w:val="center"/>
      </w:pPr>
      <w:r>
        <w:rPr>
          <w:i/>
          <w:sz w:val="21"/>
        </w:rPr>
        <w:t>基于代码、22-06 至 26-06 回测日志、持仓明细与交易明细</w:t>
      </w:r>
    </w:p>
    <w:p/>
    <w:p>
      <w:r>
        <w:rPr>
          <w:b/>
        </w:rPr>
        <w:t>结论：</w:t>
      </w:r>
      <w:r>
        <w:t>这套策略的问题不是“有没有跑起来”，而是“信号质量、仓位结构和执行层”三者叠加后，无法把波动转化为稳定的正期望。回测指标显示收益 7.65%，Sharpe -0.41，Sortino -0.57，信息比率 -0.16，说明它在风险调整后并没有形成可交易边际。</w:t>
      </w:r>
    </w:p>
    <w:p>
      <w:pPr>
        <w:pStyle w:val="Heading1"/>
      </w:pPr>
      <w:r>
        <w:t>1. 关键事实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项目</w:t>
            </w:r>
          </w:p>
        </w:tc>
        <w:tc>
          <w:tcPr>
            <w:tcW w:type="dxa" w:w="5040"/>
          </w:tcPr>
          <w:p>
            <w:r>
              <w:t>说明</w:t>
            </w:r>
          </w:p>
        </w:tc>
      </w:tr>
      <w:tr>
        <w:tc>
          <w:tcPr>
            <w:tcW w:type="dxa" w:w="5040"/>
          </w:tcPr>
          <w:p>
            <w:r>
              <w:t>回测区间</w:t>
            </w:r>
          </w:p>
        </w:tc>
        <w:tc>
          <w:tcPr>
            <w:tcW w:type="dxa" w:w="5040"/>
          </w:tcPr>
          <w:p>
            <w:r>
              <w:t>2022-06-01 ~ 2026-06-01（日志覆盖到 2026-06-21 结束）</w:t>
            </w:r>
          </w:p>
        </w:tc>
      </w:tr>
      <w:tr>
        <w:tc>
          <w:tcPr>
            <w:tcW w:type="dxa" w:w="5040"/>
          </w:tcPr>
          <w:p>
            <w:r>
              <w:t>策略层面</w:t>
            </w:r>
          </w:p>
        </w:tc>
        <w:tc>
          <w:tcPr>
            <w:tcW w:type="dxa" w:w="5040"/>
          </w:tcPr>
          <w:p>
            <w:r>
              <w:t>单文件架构，日频调仓，趋势 + 横截面排名 + 风控缩放</w:t>
            </w:r>
          </w:p>
        </w:tc>
      </w:tr>
      <w:tr>
        <w:tc>
          <w:tcPr>
            <w:tcW w:type="dxa" w:w="5040"/>
          </w:tcPr>
          <w:p>
            <w:r>
              <w:t>交易覆盖</w:t>
            </w:r>
          </w:p>
        </w:tc>
        <w:tc>
          <w:tcPr>
            <w:tcW w:type="dxa" w:w="5040"/>
          </w:tcPr>
          <w:p>
            <w:r>
              <w:t>交易明细 601 条，涉及 19 只ETF，实际成交日 160 天</w:t>
            </w:r>
          </w:p>
        </w:tc>
      </w:tr>
      <w:tr>
        <w:tc>
          <w:tcPr>
            <w:tcW w:type="dxa" w:w="5040"/>
          </w:tcPr>
          <w:p>
            <w:r>
              <w:t>日志异常</w:t>
            </w:r>
          </w:p>
        </w:tc>
        <w:tc>
          <w:tcPr>
            <w:tcW w:type="dxa" w:w="5040"/>
          </w:tcPr>
          <w:p>
            <w:r>
              <w:t>资金不足警告 298 次，零数量撤单 621 次</w:t>
            </w:r>
          </w:p>
        </w:tc>
      </w:tr>
      <w:tr>
        <w:tc>
          <w:tcPr>
            <w:tcW w:type="dxa" w:w="5040"/>
          </w:tcPr>
          <w:p>
            <w:r>
              <w:t>资金集中度</w:t>
            </w:r>
          </w:p>
        </w:tc>
        <w:tc>
          <w:tcPr>
            <w:tcW w:type="dxa" w:w="5040"/>
          </w:tcPr>
          <w:p>
            <w:r>
              <w:t>511880 作为现金ETF被高频交易，说明“避险仓”不是静态持有，而是被当作高频再平衡标的</w:t>
            </w:r>
          </w:p>
        </w:tc>
      </w:tr>
    </w:tbl>
    <w:p/>
    <w:p>
      <w:r>
        <w:rPr>
          <w:b/>
        </w:rPr>
        <w:t>用户给出的核心绩效：</w:t>
      </w:r>
      <w:r>
        <w:t>收益 7.65%，Alpha -0.02，Beta 0.12，Sharpe -0.41，Sortino -0.57，最大回撤 4.43%，胜率 48.41%，盈亏比 138.54%，信息比率 -0.16，平均持仓时长 13.13。</w:t>
      </w:r>
    </w:p>
    <w:p>
      <w:r>
        <w:rPr>
          <w:b/>
        </w:rPr>
        <w:t>解释：</w:t>
      </w:r>
      <w:r>
        <w:t>低 Beta 说明它几乎没有拿到市场上涨的主收益；负 Sharpe/IR 说明扣除波动和基准后，边际收益不足。</w:t>
      </w:r>
    </w:p>
    <w:p>
      <w:pPr>
        <w:pStyle w:val="Heading1"/>
      </w:pPr>
      <w:r>
        <w:t>2. PnL 拆解：钱主要赚在哪里、亏在哪里</w:t>
      </w:r>
    </w:p>
    <w:p>
      <w:r>
        <w:rPr>
          <w:b/>
        </w:rPr>
        <w:t>从用户提供的逐ETF胜负统计看，正贡献主要来自宽基与少量资源/周期品种；负贡献主要集中在黄金、科技和金融ETF。</w:t>
      </w:r>
    </w:p>
    <w:p>
      <w:r>
        <w:t>2.1 净贡献最高的标的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盈利次数</w:t>
            </w:r>
          </w:p>
        </w:tc>
        <w:tc>
          <w:tcPr>
            <w:tcW w:type="dxa" w:w="1440"/>
          </w:tcPr>
          <w:p>
            <w:r>
              <w:t>亏损次数</w:t>
            </w:r>
          </w:p>
        </w:tc>
        <w:tc>
          <w:tcPr>
            <w:tcW w:type="dxa" w:w="1440"/>
          </w:tcPr>
          <w:p>
            <w:r>
              <w:t>净PnL</w:t>
            </w:r>
          </w:p>
        </w:tc>
        <w:tc>
          <w:tcPr>
            <w:tcW w:type="dxa" w:w="1440"/>
          </w:tcPr>
          <w:p>
            <w:r>
              <w:t>胜率</w:t>
            </w:r>
          </w:p>
        </w:tc>
        <w:tc>
          <w:tcPr>
            <w:tcW w:type="dxa" w:w="1440"/>
          </w:tcPr>
          <w:p>
            <w:r>
              <w:t>盈亏比</w:t>
            </w:r>
          </w:p>
        </w:tc>
      </w:tr>
      <w:tr>
        <w:tc>
          <w:tcPr>
            <w:tcW w:type="dxa" w:w="1440"/>
          </w:tcPr>
          <w:p>
            <w:r>
              <w:t>510500.XSHG</w:t>
            </w:r>
          </w:p>
        </w:tc>
        <w:tc>
          <w:tcPr>
            <w:tcW w:type="dxa" w:w="1440"/>
          </w:tcPr>
          <w:p>
            <w:r>
              <w:t>宽基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2621.79</w:t>
            </w:r>
          </w:p>
        </w:tc>
        <w:tc>
          <w:tcPr>
            <w:tcW w:type="dxa" w:w="1440"/>
          </w:tcPr>
          <w:p>
            <w:r>
              <w:t>71.43%</w:t>
            </w:r>
          </w:p>
        </w:tc>
        <w:tc>
          <w:tcPr>
            <w:tcW w:type="dxa" w:w="1440"/>
          </w:tcPr>
          <w:p>
            <w:r>
              <w:t>14.91</w:t>
            </w:r>
          </w:p>
        </w:tc>
      </w:tr>
      <w:tr>
        <w:tc>
          <w:tcPr>
            <w:tcW w:type="dxa" w:w="1440"/>
          </w:tcPr>
          <w:p>
            <w:r>
              <w:t>512400.XSHG</w:t>
            </w:r>
          </w:p>
        </w:tc>
        <w:tc>
          <w:tcPr>
            <w:tcW w:type="dxa" w:w="1440"/>
          </w:tcPr>
          <w:p>
            <w:r>
              <w:t>资源/周期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1616.53</w:t>
            </w:r>
          </w:p>
        </w:tc>
        <w:tc>
          <w:tcPr>
            <w:tcW w:type="dxa" w:w="1440"/>
          </w:tcPr>
          <w:p>
            <w:r>
              <w:t>54.55%</w:t>
            </w:r>
          </w:p>
        </w:tc>
        <w:tc>
          <w:tcPr>
            <w:tcW w:type="dxa" w:w="1440"/>
          </w:tcPr>
          <w:p>
            <w:r>
              <w:t>3.57</w:t>
            </w:r>
          </w:p>
        </w:tc>
      </w:tr>
      <w:tr>
        <w:tc>
          <w:tcPr>
            <w:tcW w:type="dxa" w:w="1440"/>
          </w:tcPr>
          <w:p>
            <w:r>
              <w:t>512100.XSHG</w:t>
            </w:r>
          </w:p>
        </w:tc>
        <w:tc>
          <w:tcPr>
            <w:tcW w:type="dxa" w:w="1440"/>
          </w:tcPr>
          <w:p>
            <w:r>
              <w:t>宽基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1309.73</w:t>
            </w:r>
          </w:p>
        </w:tc>
        <w:tc>
          <w:tcPr>
            <w:tcW w:type="dxa" w:w="1440"/>
          </w:tcPr>
          <w:p>
            <w:r>
              <w:t>71.43%</w:t>
            </w:r>
          </w:p>
        </w:tc>
        <w:tc>
          <w:tcPr>
            <w:tcW w:type="dxa" w:w="1440"/>
          </w:tcPr>
          <w:p>
            <w:r>
              <w:t>7.20</w:t>
            </w:r>
          </w:p>
        </w:tc>
      </w:tr>
      <w:tr>
        <w:tc>
          <w:tcPr>
            <w:tcW w:type="dxa" w:w="1440"/>
          </w:tcPr>
          <w:p>
            <w:r>
              <w:t>510300.XSHG</w:t>
            </w:r>
          </w:p>
        </w:tc>
        <w:tc>
          <w:tcPr>
            <w:tcW w:type="dxa" w:w="1440"/>
          </w:tcPr>
          <w:p>
            <w:r>
              <w:t>宽基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893.80</w:t>
            </w:r>
          </w:p>
        </w:tc>
        <w:tc>
          <w:tcPr>
            <w:tcW w:type="dxa" w:w="1440"/>
          </w:tcPr>
          <w:p>
            <w:r>
              <w:t>70.00%</w:t>
            </w:r>
          </w:p>
        </w:tc>
        <w:tc>
          <w:tcPr>
            <w:tcW w:type="dxa" w:w="1440"/>
          </w:tcPr>
          <w:p>
            <w:r>
              <w:t>4.13</w:t>
            </w:r>
          </w:p>
        </w:tc>
      </w:tr>
      <w:tr>
        <w:tc>
          <w:tcPr>
            <w:tcW w:type="dxa" w:w="1440"/>
          </w:tcPr>
          <w:p>
            <w:r>
              <w:t>563300.XSHG</w:t>
            </w:r>
          </w:p>
        </w:tc>
        <w:tc>
          <w:tcPr>
            <w:tcW w:type="dxa" w:w="1440"/>
          </w:tcPr>
          <w:p>
            <w:r>
              <w:t>宽基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697.19</w:t>
            </w:r>
          </w:p>
        </w:tc>
        <w:tc>
          <w:tcPr>
            <w:tcW w:type="dxa" w:w="1440"/>
          </w:tcPr>
          <w:p>
            <w:r>
              <w:t>38.46%</w:t>
            </w:r>
          </w:p>
        </w:tc>
        <w:tc>
          <w:tcPr>
            <w:tcW w:type="dxa" w:w="1440"/>
          </w:tcPr>
          <w:p>
            <w:r>
              <w:t>1.56</w:t>
            </w:r>
          </w:p>
        </w:tc>
      </w:tr>
    </w:tbl>
    <w:p>
      <w:r>
        <w:t>2.2 净贡献最低的标的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盈利次数</w:t>
            </w:r>
          </w:p>
        </w:tc>
        <w:tc>
          <w:tcPr>
            <w:tcW w:type="dxa" w:w="1440"/>
          </w:tcPr>
          <w:p>
            <w:r>
              <w:t>亏损次数</w:t>
            </w:r>
          </w:p>
        </w:tc>
        <w:tc>
          <w:tcPr>
            <w:tcW w:type="dxa" w:w="1440"/>
          </w:tcPr>
          <w:p>
            <w:r>
              <w:t>净PnL</w:t>
            </w:r>
          </w:p>
        </w:tc>
        <w:tc>
          <w:tcPr>
            <w:tcW w:type="dxa" w:w="1440"/>
          </w:tcPr>
          <w:p>
            <w:r>
              <w:t>胜率</w:t>
            </w:r>
          </w:p>
        </w:tc>
        <w:tc>
          <w:tcPr>
            <w:tcW w:type="dxa" w:w="1440"/>
          </w:tcPr>
          <w:p>
            <w:r>
              <w:t>盈亏比</w:t>
            </w:r>
          </w:p>
        </w:tc>
      </w:tr>
      <w:tr>
        <w:tc>
          <w:tcPr>
            <w:tcW w:type="dxa" w:w="1440"/>
          </w:tcPr>
          <w:p>
            <w:r>
              <w:t>518880.XSHG</w:t>
            </w:r>
          </w:p>
        </w:tc>
        <w:tc>
          <w:tcPr>
            <w:tcW w:type="dxa" w:w="1440"/>
          </w:tcPr>
          <w:p>
            <w:r>
              <w:t>资源/黄金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-1134.66</w:t>
            </w:r>
          </w:p>
        </w:tc>
        <w:tc>
          <w:tcPr>
            <w:tcW w:type="dxa" w:w="1440"/>
          </w:tcPr>
          <w:p>
            <w:r>
              <w:t>54.17%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  <w:tr>
        <w:tc>
          <w:tcPr>
            <w:tcW w:type="dxa" w:w="1440"/>
          </w:tcPr>
          <w:p>
            <w:r>
              <w:t>159819.XSHE</w:t>
            </w:r>
          </w:p>
        </w:tc>
        <w:tc>
          <w:tcPr>
            <w:tcW w:type="dxa" w:w="1440"/>
          </w:tcPr>
          <w:p>
            <w:r>
              <w:t>科技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-661.62</w:t>
            </w:r>
          </w:p>
        </w:tc>
        <w:tc>
          <w:tcPr>
            <w:tcW w:type="dxa" w:w="1440"/>
          </w:tcPr>
          <w:p>
            <w:r>
              <w:t>38.46%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</w:tr>
      <w:tr>
        <w:tc>
          <w:tcPr>
            <w:tcW w:type="dxa" w:w="1440"/>
          </w:tcPr>
          <w:p>
            <w:r>
              <w:t>512800.XSHG</w:t>
            </w:r>
          </w:p>
        </w:tc>
        <w:tc>
          <w:tcPr>
            <w:tcW w:type="dxa" w:w="1440"/>
          </w:tcPr>
          <w:p>
            <w:r>
              <w:t>金融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-603.03</w:t>
            </w:r>
          </w:p>
        </w:tc>
        <w:tc>
          <w:tcPr>
            <w:tcW w:type="dxa" w:w="1440"/>
          </w:tcPr>
          <w:p>
            <w:r>
              <w:t>30.00%</w:t>
            </w:r>
          </w:p>
        </w:tc>
        <w:tc>
          <w:tcPr>
            <w:tcW w:type="dxa" w:w="1440"/>
          </w:tcPr>
          <w:p>
            <w:r>
              <w:t>0.19</w:t>
            </w:r>
          </w:p>
        </w:tc>
      </w:tr>
      <w:tr>
        <w:tc>
          <w:tcPr>
            <w:tcW w:type="dxa" w:w="1440"/>
          </w:tcPr>
          <w:p>
            <w:r>
              <w:t>512480.XSHG</w:t>
            </w:r>
          </w:p>
        </w:tc>
        <w:tc>
          <w:tcPr>
            <w:tcW w:type="dxa" w:w="1440"/>
          </w:tcPr>
          <w:p>
            <w:r>
              <w:t>科技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-557.93</w:t>
            </w:r>
          </w:p>
        </w:tc>
        <w:tc>
          <w:tcPr>
            <w:tcW w:type="dxa" w:w="1440"/>
          </w:tcPr>
          <w:p>
            <w:r>
              <w:t>42.11%</w:t>
            </w:r>
          </w:p>
        </w:tc>
        <w:tc>
          <w:tcPr>
            <w:tcW w:type="dxa" w:w="1440"/>
          </w:tcPr>
          <w:p>
            <w:r>
              <w:t>0.71</w:t>
            </w:r>
          </w:p>
        </w:tc>
      </w:tr>
      <w:tr>
        <w:tc>
          <w:tcPr>
            <w:tcW w:type="dxa" w:w="1440"/>
          </w:tcPr>
          <w:p>
            <w:r>
              <w:t>512880.XSHG</w:t>
            </w:r>
          </w:p>
        </w:tc>
        <w:tc>
          <w:tcPr>
            <w:tcW w:type="dxa" w:w="1440"/>
          </w:tcPr>
          <w:p>
            <w:r>
              <w:t>金融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-200.74</w:t>
            </w:r>
          </w:p>
        </w:tc>
        <w:tc>
          <w:tcPr>
            <w:tcW w:type="dxa" w:w="1440"/>
          </w:tcPr>
          <w:p>
            <w:r>
              <w:t>50.00%</w:t>
            </w:r>
          </w:p>
        </w:tc>
        <w:tc>
          <w:tcPr>
            <w:tcW w:type="dxa" w:w="1440"/>
          </w:tcPr>
          <w:p>
            <w:r>
              <w:t>0.49</w:t>
            </w:r>
          </w:p>
        </w:tc>
      </w:tr>
    </w:tbl>
    <w:p>
      <w:r>
        <w:t>2.3 按类别汇总（用户统计口径）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标的数</w:t>
            </w:r>
          </w:p>
        </w:tc>
        <w:tc>
          <w:tcPr>
            <w:tcW w:type="dxa" w:w="1440"/>
          </w:tcPr>
          <w:p>
            <w:r>
              <w:t>盈利次数</w:t>
            </w:r>
          </w:p>
        </w:tc>
        <w:tc>
          <w:tcPr>
            <w:tcW w:type="dxa" w:w="1440"/>
          </w:tcPr>
          <w:p>
            <w:r>
              <w:t>亏损次数</w:t>
            </w:r>
          </w:p>
        </w:tc>
        <w:tc>
          <w:tcPr>
            <w:tcW w:type="dxa" w:w="1440"/>
          </w:tcPr>
          <w:p>
            <w:r>
              <w:t>净PnL</w:t>
            </w:r>
          </w:p>
        </w:tc>
        <w:tc>
          <w:tcPr>
            <w:tcW w:type="dxa" w:w="1440"/>
          </w:tcPr>
          <w:p>
            <w:r>
              <w:t>胜率</w:t>
            </w:r>
          </w:p>
        </w:tc>
        <w:tc>
          <w:tcPr>
            <w:tcW w:type="dxa" w:w="1440"/>
          </w:tcPr>
          <w:p>
            <w:r>
              <w:t>盈亏比</w:t>
            </w:r>
          </w:p>
        </w:tc>
      </w:tr>
      <w:tr>
        <w:tc>
          <w:tcPr>
            <w:tcW w:type="dxa" w:w="1440"/>
          </w:tcPr>
          <w:p>
            <w:r>
              <w:t>宽基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5561.54</w:t>
            </w:r>
          </w:p>
        </w:tc>
        <w:tc>
          <w:tcPr>
            <w:tcW w:type="dxa" w:w="1440"/>
          </w:tcPr>
          <w:p>
            <w:r>
              <w:t>53.45%</w:t>
            </w:r>
          </w:p>
        </w:tc>
        <w:tc>
          <w:tcPr>
            <w:tcW w:type="dxa" w:w="1440"/>
          </w:tcPr>
          <w:p>
            <w:r>
              <w:t>2.83</w:t>
            </w:r>
          </w:p>
        </w:tc>
      </w:tr>
      <w:tr>
        <w:tc>
          <w:tcPr>
            <w:tcW w:type="dxa" w:w="1440"/>
          </w:tcPr>
          <w:p>
            <w:r>
              <w:t>资源/周期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1616.53</w:t>
            </w:r>
          </w:p>
        </w:tc>
        <w:tc>
          <w:tcPr>
            <w:tcW w:type="dxa" w:w="1440"/>
          </w:tcPr>
          <w:p>
            <w:r>
              <w:t>54.55%</w:t>
            </w:r>
          </w:p>
        </w:tc>
        <w:tc>
          <w:tcPr>
            <w:tcW w:type="dxa" w:w="1440"/>
          </w:tcPr>
          <w:p>
            <w:r>
              <w:t>3.57</w:t>
            </w:r>
          </w:p>
        </w:tc>
      </w:tr>
      <w:tr>
        <w:tc>
          <w:tcPr>
            <w:tcW w:type="dxa" w:w="1440"/>
          </w:tcPr>
          <w:p>
            <w:r>
              <w:t>新能源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181.64</w:t>
            </w:r>
          </w:p>
        </w:tc>
        <w:tc>
          <w:tcPr>
            <w:tcW w:type="dxa" w:w="1440"/>
          </w:tcPr>
          <w:p>
            <w:r>
              <w:t>71.43%</w:t>
            </w:r>
          </w:p>
        </w:tc>
        <w:tc>
          <w:tcPr>
            <w:tcW w:type="dxa" w:w="1440"/>
          </w:tcPr>
          <w:p>
            <w:r>
              <w:t>1.29</w:t>
            </w:r>
          </w:p>
        </w:tc>
      </w:tr>
      <w:tr>
        <w:tc>
          <w:tcPr>
            <w:tcW w:type="dxa" w:w="1440"/>
          </w:tcPr>
          <w:p>
            <w:r>
              <w:t>红利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-175.28</w:t>
            </w:r>
          </w:p>
        </w:tc>
        <w:tc>
          <w:tcPr>
            <w:tcW w:type="dxa" w:w="1440"/>
          </w:tcPr>
          <w:p>
            <w:r>
              <w:t>0.00%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军工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-193.20</w:t>
            </w:r>
          </w:p>
        </w:tc>
        <w:tc>
          <w:tcPr>
            <w:tcW w:type="dxa" w:w="1440"/>
          </w:tcPr>
          <w:p>
            <w:r>
              <w:t>0.00%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1440"/>
          </w:tcPr>
          <w:p>
            <w:r>
              <w:t>科技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-760.58</w:t>
            </w:r>
          </w:p>
        </w:tc>
        <w:tc>
          <w:tcPr>
            <w:tcW w:type="dxa" w:w="1440"/>
          </w:tcPr>
          <w:p>
            <w:r>
              <w:t>40.48%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金融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-803.77</w:t>
            </w:r>
          </w:p>
        </w:tc>
        <w:tc>
          <w:tcPr>
            <w:tcW w:type="dxa" w:w="1440"/>
          </w:tcPr>
          <w:p>
            <w:r>
              <w:t>33.33%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</w:tr>
      <w:tr>
        <w:tc>
          <w:tcPr>
            <w:tcW w:type="dxa" w:w="1440"/>
          </w:tcPr>
          <w:p>
            <w:r>
              <w:t>资源/黄金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-1134.66</w:t>
            </w:r>
          </w:p>
        </w:tc>
        <w:tc>
          <w:tcPr>
            <w:tcW w:type="dxa" w:w="1440"/>
          </w:tcPr>
          <w:p>
            <w:r>
              <w:t>54.17%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8671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pn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图1：按类别汇总的净PnL。宽基是唯一稳定贡献来源，科技、金融、黄金/资源拖累明显。</w:t>
      </w:r>
    </w:p>
    <w:p>
      <w:pPr>
        <w:pStyle w:val="Heading1"/>
      </w:pPr>
      <w:r>
        <w:t>3. 交易与执行层证据</w:t>
      </w:r>
    </w:p>
    <w:p>
      <w:r>
        <w:rPr>
          <w:b/>
        </w:rPr>
        <w:t>日志显示的第一类问题是执行失败。</w:t>
      </w:r>
      <w:r>
        <w:t>全区间共有 298 次“当前账户资金不足”警告，621 次“股票委托数量为0, 委托取消”。这不是单纯的噪声，它说明目标仓位在下单时并没有被严格约束为可成交规模，或者买入阶段没有预留足够现金和费用缓冲。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指标</w:t>
            </w:r>
          </w:p>
        </w:tc>
        <w:tc>
          <w:tcPr>
            <w:tcW w:type="dxa" w:w="3360"/>
          </w:tcPr>
          <w:p>
            <w:r>
              <w:t>数量</w:t>
            </w:r>
          </w:p>
        </w:tc>
        <w:tc>
          <w:tcPr>
            <w:tcW w:type="dxa" w:w="3360"/>
          </w:tcPr>
          <w:p>
            <w:r>
              <w:t>含义</w:t>
            </w:r>
          </w:p>
        </w:tc>
      </w:tr>
      <w:tr>
        <w:tc>
          <w:tcPr>
            <w:tcW w:type="dxa" w:w="3360"/>
          </w:tcPr>
          <w:p>
            <w:r>
              <w:t>策略主循环</w:t>
            </w:r>
          </w:p>
        </w:tc>
        <w:tc>
          <w:tcPr>
            <w:tcW w:type="dxa" w:w="3360"/>
          </w:tcPr>
          <w:p>
            <w:r>
              <w:t>969 天</w:t>
            </w:r>
          </w:p>
        </w:tc>
        <w:tc>
          <w:tcPr>
            <w:tcW w:type="dxa" w:w="3360"/>
          </w:tcPr>
          <w:p>
            <w:r>
              <w:t>几乎每天都在评估和重平衡</w:t>
            </w:r>
          </w:p>
        </w:tc>
      </w:tr>
      <w:tr>
        <w:tc>
          <w:tcPr>
            <w:tcW w:type="dxa" w:w="3360"/>
          </w:tcPr>
          <w:p>
            <w:r>
              <w:t>有成交的日期</w:t>
            </w:r>
          </w:p>
        </w:tc>
        <w:tc>
          <w:tcPr>
            <w:tcW w:type="dxa" w:w="3360"/>
          </w:tcPr>
          <w:p>
            <w:r>
              <w:t>160 天</w:t>
            </w:r>
          </w:p>
        </w:tc>
        <w:tc>
          <w:tcPr>
            <w:tcW w:type="dxa" w:w="3360"/>
          </w:tcPr>
          <w:p>
            <w:r>
              <w:t>实际执行只发生在约六分之一交易日</w:t>
            </w:r>
          </w:p>
        </w:tc>
      </w:tr>
      <w:tr>
        <w:tc>
          <w:tcPr>
            <w:tcW w:type="dxa" w:w="3360"/>
          </w:tcPr>
          <w:p>
            <w:r>
              <w:t>订单记录</w:t>
            </w:r>
          </w:p>
        </w:tc>
        <w:tc>
          <w:tcPr>
            <w:tcW w:type="dxa" w:w="3360"/>
          </w:tcPr>
          <w:p>
            <w:r>
              <w:t>444 条</w:t>
            </w:r>
          </w:p>
        </w:tc>
        <w:tc>
          <w:tcPr>
            <w:tcW w:type="dxa" w:w="3360"/>
          </w:tcPr>
          <w:p>
            <w:r>
              <w:t>日志里已生成的目标订单</w:t>
            </w:r>
          </w:p>
        </w:tc>
      </w:tr>
      <w:tr>
        <w:tc>
          <w:tcPr>
            <w:tcW w:type="dxa" w:w="3360"/>
          </w:tcPr>
          <w:p>
            <w:r>
              <w:t>成交记录</w:t>
            </w:r>
          </w:p>
        </w:tc>
        <w:tc>
          <w:tcPr>
            <w:tcW w:type="dxa" w:w="3360"/>
          </w:tcPr>
          <w:p>
            <w:r>
              <w:t>601 条</w:t>
            </w:r>
          </w:p>
        </w:tc>
        <w:tc>
          <w:tcPr>
            <w:tcW w:type="dxa" w:w="3360"/>
          </w:tcPr>
          <w:p>
            <w:r>
              <w:t>实际成交明细</w:t>
            </w:r>
          </w:p>
        </w:tc>
      </w:tr>
      <w:tr>
        <w:tc>
          <w:tcPr>
            <w:tcW w:type="dxa" w:w="3360"/>
          </w:tcPr>
          <w:p>
            <w:r>
              <w:t>资金不足警告</w:t>
            </w:r>
          </w:p>
        </w:tc>
        <w:tc>
          <w:tcPr>
            <w:tcW w:type="dxa" w:w="3360"/>
          </w:tcPr>
          <w:p>
            <w:r>
              <w:t>298 次</w:t>
            </w:r>
          </w:p>
        </w:tc>
        <w:tc>
          <w:tcPr>
            <w:tcW w:type="dxa" w:w="3360"/>
          </w:tcPr>
          <w:p>
            <w:r>
              <w:t>买单经常超出可用资金</w:t>
            </w:r>
          </w:p>
        </w:tc>
      </w:tr>
      <w:tr>
        <w:tc>
          <w:tcPr>
            <w:tcW w:type="dxa" w:w="3360"/>
          </w:tcPr>
          <w:p>
            <w:r>
              <w:t>零数量撤单</w:t>
            </w:r>
          </w:p>
        </w:tc>
        <w:tc>
          <w:tcPr>
            <w:tcW w:type="dxa" w:w="3360"/>
          </w:tcPr>
          <w:p>
            <w:r>
              <w:t>621 次</w:t>
            </w:r>
          </w:p>
        </w:tc>
        <w:tc>
          <w:tcPr>
            <w:tcW w:type="dxa" w:w="3360"/>
          </w:tcPr>
          <w:p>
            <w:r>
              <w:t>大量目标仓位被压缩到不可下单</w:t>
            </w:r>
          </w:p>
        </w:tc>
      </w:tr>
    </w:tbl>
    <w:p/>
    <w:p>
      <w:r>
        <w:rPr>
          <w:b/>
        </w:rPr>
        <w:t>第二类问题是成交结构本身偏“重仓+高频再平衡”。</w:t>
      </w:r>
      <w:r>
        <w:t>从交易明细看，511880 这一只现金ETF的成交金额最高（约 98.77 万），而且交易次数也很高，说明“现金仓”并没有成为低摩擦缓冲，而是被反复买卖，贡献了显著的手续费和机会成本。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交易次数</w:t>
            </w:r>
          </w:p>
        </w:tc>
        <w:tc>
          <w:tcPr>
            <w:tcW w:type="dxa" w:w="1440"/>
          </w:tcPr>
          <w:p>
            <w:r>
              <w:t>买入</w:t>
            </w:r>
          </w:p>
        </w:tc>
        <w:tc>
          <w:tcPr>
            <w:tcW w:type="dxa" w:w="1440"/>
          </w:tcPr>
          <w:p>
            <w:r>
              <w:t>卖出</w:t>
            </w:r>
          </w:p>
        </w:tc>
        <w:tc>
          <w:tcPr>
            <w:tcW w:type="dxa" w:w="1440"/>
          </w:tcPr>
          <w:p>
            <w:r>
              <w:t>成交额</w:t>
            </w:r>
          </w:p>
        </w:tc>
        <w:tc>
          <w:tcPr>
            <w:tcW w:type="dxa" w:w="1440"/>
          </w:tcPr>
          <w:p>
            <w:r>
              <w:t>手续费</w:t>
            </w:r>
          </w:p>
        </w:tc>
        <w:tc>
          <w:tcPr>
            <w:tcW w:type="dxa" w:w="1440"/>
          </w:tcPr>
          <w:p>
            <w:r>
              <w:t>平均单笔成交额</w:t>
            </w:r>
          </w:p>
        </w:tc>
      </w:tr>
      <w:tr>
        <w:tc>
          <w:tcPr>
            <w:tcW w:type="dxa" w:w="1440"/>
          </w:tcPr>
          <w:p>
            <w:r>
              <w:t>511880.XSHG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987664.9</w:t>
            </w:r>
          </w:p>
        </w:tc>
        <w:tc>
          <w:tcPr>
            <w:tcW w:type="dxa" w:w="1440"/>
          </w:tcPr>
          <w:p>
            <w:r>
              <w:t>790.130</w:t>
            </w:r>
          </w:p>
        </w:tc>
        <w:tc>
          <w:tcPr>
            <w:tcW w:type="dxa" w:w="1440"/>
          </w:tcPr>
          <w:p>
            <w:r>
              <w:t>18635.2</w:t>
            </w:r>
          </w:p>
        </w:tc>
      </w:tr>
      <w:tr>
        <w:tc>
          <w:tcPr>
            <w:tcW w:type="dxa" w:w="1440"/>
          </w:tcPr>
          <w:p>
            <w:r>
              <w:t>518880.XSHG</w:t>
            </w:r>
          </w:p>
        </w:tc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377322.4</w:t>
            </w:r>
          </w:p>
        </w:tc>
        <w:tc>
          <w:tcPr>
            <w:tcW w:type="dxa" w:w="1440"/>
          </w:tcPr>
          <w:p>
            <w:r>
              <w:t>461.422</w:t>
            </w:r>
          </w:p>
        </w:tc>
        <w:tc>
          <w:tcPr>
            <w:tcW w:type="dxa" w:w="1440"/>
          </w:tcPr>
          <w:p>
            <w:r>
              <w:t>4776.2</w:t>
            </w:r>
          </w:p>
        </w:tc>
      </w:tr>
      <w:tr>
        <w:tc>
          <w:tcPr>
            <w:tcW w:type="dxa" w:w="1440"/>
          </w:tcPr>
          <w:p>
            <w:r>
              <w:t>510500.XSHG</w:t>
            </w:r>
          </w:p>
        </w:tc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291704.1</w:t>
            </w:r>
          </w:p>
        </w:tc>
        <w:tc>
          <w:tcPr>
            <w:tcW w:type="dxa" w:w="1440"/>
          </w:tcPr>
          <w:p>
            <w:r>
              <w:t>324.994</w:t>
            </w:r>
          </w:p>
        </w:tc>
        <w:tc>
          <w:tcPr>
            <w:tcW w:type="dxa" w:w="1440"/>
          </w:tcPr>
          <w:p>
            <w:r>
              <w:t>5503.9</w:t>
            </w:r>
          </w:p>
        </w:tc>
      </w:tr>
      <w:tr>
        <w:tc>
          <w:tcPr>
            <w:tcW w:type="dxa" w:w="1440"/>
          </w:tcPr>
          <w:p>
            <w:r>
              <w:t>563300.XSHG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259163.3</w:t>
            </w:r>
          </w:p>
        </w:tc>
        <w:tc>
          <w:tcPr>
            <w:tcW w:type="dxa" w:w="1440"/>
          </w:tcPr>
          <w:p>
            <w:r>
              <w:t>267.053</w:t>
            </w:r>
          </w:p>
        </w:tc>
        <w:tc>
          <w:tcPr>
            <w:tcW w:type="dxa" w:w="1440"/>
          </w:tcPr>
          <w:p>
            <w:r>
              <w:t>6479.1</w:t>
            </w:r>
          </w:p>
        </w:tc>
      </w:tr>
      <w:tr>
        <w:tc>
          <w:tcPr>
            <w:tcW w:type="dxa" w:w="1440"/>
          </w:tcPr>
          <w:p>
            <w:r>
              <w:t>512480.XSHG</w:t>
            </w:r>
          </w:p>
        </w:tc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228052.8</w:t>
            </w:r>
          </w:p>
        </w:tc>
        <w:tc>
          <w:tcPr>
            <w:tcW w:type="dxa" w:w="1440"/>
          </w:tcPr>
          <w:p>
            <w:r>
              <w:t>274.479</w:t>
            </w:r>
          </w:p>
        </w:tc>
        <w:tc>
          <w:tcPr>
            <w:tcW w:type="dxa" w:w="1440"/>
          </w:tcPr>
          <w:p>
            <w:r>
              <w:t>4385.6</w:t>
            </w:r>
          </w:p>
        </w:tc>
      </w:tr>
      <w:tr>
        <w:tc>
          <w:tcPr>
            <w:tcW w:type="dxa" w:w="1440"/>
          </w:tcPr>
          <w:p>
            <w:r>
              <w:t>510300.XSHG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219909.2</w:t>
            </w:r>
          </w:p>
        </w:tc>
        <w:tc>
          <w:tcPr>
            <w:tcW w:type="dxa" w:w="1440"/>
          </w:tcPr>
          <w:p>
            <w:r>
              <w:t>185.590</w:t>
            </w:r>
          </w:p>
        </w:tc>
        <w:tc>
          <w:tcPr>
            <w:tcW w:type="dxa" w:w="1440"/>
          </w:tcPr>
          <w:p>
            <w:r>
              <w:t>8796.4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871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arly_pn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图2：按平仓年份统计的实现PnL。2023-2024 为拖累期，2025-2026 才恢复正贡献，说明策略对不同市场状态的适应性不稳定。</w:t>
      </w:r>
    </w:p>
    <w:p>
      <w:pPr>
        <w:pStyle w:val="Heading1"/>
      </w:pPr>
      <w:r>
        <w:t>4. 为什么没有达到预期的 12%-20%</w:t>
      </w:r>
    </w:p>
    <w:p>
      <w:pPr>
        <w:pStyle w:val="ListBullet"/>
      </w:pPr>
      <w:r>
        <w:t>信号边际偏弱。胜率只有 48.41%，信息比率为负，说明信号并未稳定战胜波动和基准。宽基以外的 ETF 类别整体拖累明显。</w:t>
      </w:r>
    </w:p>
    <w:p>
      <w:pPr>
        <w:pStyle w:val="ListBullet"/>
      </w:pPr>
      <w:r>
        <w:t>收益结构构成“少数标的撑起大盘”。宽基 ETF 贡献了大部分正PnL，科技、金融、黄金/资源等卫星仓位的负贡献抵消了很大一部分收益。</w:t>
      </w:r>
    </w:p>
    <w:p>
      <w:pPr>
        <w:pStyle w:val="ListBullet"/>
      </w:pPr>
      <w:r>
        <w:t>低 Beta 导致上行捕获不足。Beta 只有 0.12，意味着策略并没有充分参与市场趋势，风险暴露太轻，年化自然难以稳定落在 12%-20% 区间。</w:t>
      </w:r>
    </w:p>
    <w:p>
      <w:pPr>
        <w:pStyle w:val="ListBullet"/>
      </w:pPr>
      <w:r>
        <w:t>执行层有摩擦损失。298 次资金不足、621 次零数量撤单，表明目标仓位经常无法按计划成交，形成了额外的漏单、延迟成交和手续费损耗。</w:t>
      </w:r>
    </w:p>
    <w:p>
      <w:pPr>
        <w:pStyle w:val="ListBullet"/>
      </w:pPr>
      <w:r>
        <w:t>现金ETF被高频交易。现金仓本应降低波动，但这里也被频繁买卖，结果把低风险缓冲变成了低效率换手标的。</w:t>
      </w:r>
    </w:p>
    <w:p>
      <w:pPr>
        <w:pStyle w:val="ListBullet"/>
      </w:pPr>
      <w:r>
        <w:t>日频再平衡在ETF横截面上过于敏感。趋势/动量窗口较长，但调仓频率较高，容易在噪声里反复换仓，而不是把真正的中期趋势吃满。</w:t>
      </w:r>
    </w:p>
    <w:p>
      <w:pPr>
        <w:pStyle w:val="Heading1"/>
      </w:pPr>
      <w:r>
        <w:t>5. 代码层面最值得优先修的点</w:t>
      </w:r>
    </w:p>
    <w:p>
      <w:pPr>
        <w:pStyle w:val="ListBullet"/>
      </w:pPr>
      <w:r>
        <w:t>rebalance_portfolio() 目前按目标权重直接下单，但没有在买入前显式保留手续费和滑点缓冲，也没有按“可用现金”重新计算剩余买盘。</w:t>
      </w:r>
    </w:p>
    <w:p>
      <w:pPr>
        <w:pStyle w:val="ListBullet"/>
      </w:pPr>
      <w:r>
        <w:t>order_target_percent() 依赖 portfolio_value 直接换算目标市值，适合简单仓位控制，但在同一轮内多笔买单并行时，容易出现资金不足或目标金额超限。</w:t>
      </w:r>
    </w:p>
    <w:p>
      <w:pPr>
        <w:pStyle w:val="ListBullet"/>
      </w:pPr>
      <w:r>
        <w:t>get_risk_adjusted_weights() 只做乘法缩放，不做二次归一化；当市场因子或风控因子较低时，现金比例会上升，但没有清晰区分“主动留现金”与“被动买不满”。</w:t>
      </w:r>
    </w:p>
    <w:p>
      <w:pPr>
        <w:pStyle w:val="ListBullet"/>
      </w:pPr>
      <w:r>
        <w:t>市场过滤只看 3 个指数的均线多头结构，过于粗粒度，容易在横盘或结构性分化时给出不稳定的市场暴露信号。</w:t>
      </w:r>
    </w:p>
    <w:p>
      <w:pPr>
        <w:pStyle w:val="ListBullet"/>
      </w:pPr>
      <w:r>
        <w:t>final score 把动量、质量、流动性线性加权，但没有显式惩罚回撤、换手或信号一致性，容易把“看起来强”的ETF和“真正能赚”的ETF混在一起。</w:t>
      </w:r>
    </w:p>
    <w:p>
      <w:pPr>
        <w:pStyle w:val="Heading1"/>
      </w:pPr>
      <w:r>
        <w:t>6. 优化建议：按优先级排序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优先级</w:t>
            </w:r>
          </w:p>
        </w:tc>
        <w:tc>
          <w:tcPr>
            <w:tcW w:type="dxa" w:w="5040"/>
          </w:tcPr>
          <w:p>
            <w:r>
              <w:t>建议</w:t>
            </w:r>
          </w:p>
        </w:tc>
      </w:tr>
      <w:tr>
        <w:tc>
          <w:tcPr>
            <w:tcW w:type="dxa" w:w="5040"/>
          </w:tcPr>
          <w:p>
            <w:r>
              <w:t>P0 - 先修执行层</w:t>
            </w:r>
          </w:p>
        </w:tc>
        <w:tc>
          <w:tcPr>
            <w:tcW w:type="dxa" w:w="5040"/>
          </w:tcPr>
          <w:p>
            <w:r>
              <w:t>增加下单前现金检查、手续费缓冲和买单分批；必要时把卖出和买入拆成两个时点，避免同一轮内资金占用冲突。</w:t>
            </w:r>
          </w:p>
        </w:tc>
      </w:tr>
      <w:tr>
        <w:tc>
          <w:tcPr>
            <w:tcW w:type="dxa" w:w="5040"/>
          </w:tcPr>
          <w:p>
            <w:r>
              <w:t>P1 - 降低换手</w:t>
            </w:r>
          </w:p>
        </w:tc>
        <w:tc>
          <w:tcPr>
            <w:tcW w:type="dxa" w:w="5040"/>
          </w:tcPr>
          <w:p>
            <w:r>
              <w:t>把日频调仓改成周频或“评分变化阈值触发”；增加仓位切换滞后，避免微小排名变化引发交易。</w:t>
            </w:r>
          </w:p>
        </w:tc>
      </w:tr>
      <w:tr>
        <w:tc>
          <w:tcPr>
            <w:tcW w:type="dxa" w:w="5040"/>
          </w:tcPr>
          <w:p>
            <w:r>
              <w:t>P1 - 重新定义现金仓</w:t>
            </w:r>
          </w:p>
        </w:tc>
        <w:tc>
          <w:tcPr>
            <w:tcW w:type="dxa" w:w="5040"/>
          </w:tcPr>
          <w:p>
            <w:r>
              <w:t>511880 仅作为防守停泊位，不参与和风险ETF同权的打分竞争；避免把现金仓做成高频交易标的。</w:t>
            </w:r>
          </w:p>
        </w:tc>
      </w:tr>
      <w:tr>
        <w:tc>
          <w:tcPr>
            <w:tcW w:type="dxa" w:w="5040"/>
          </w:tcPr>
          <w:p>
            <w:r>
              <w:t>P2 - 收缩资产池</w:t>
            </w:r>
          </w:p>
        </w:tc>
        <w:tc>
          <w:tcPr>
            <w:tcW w:type="dxa" w:w="5040"/>
          </w:tcPr>
          <w:p>
            <w:r>
              <w:t>优先保留宽基ETF和少数长期有效的赛道ETF；对长期净贡献为负的品种做样本外验证后再决定是否剔除。</w:t>
            </w:r>
          </w:p>
        </w:tc>
      </w:tr>
      <w:tr>
        <w:tc>
          <w:tcPr>
            <w:tcW w:type="dxa" w:w="5040"/>
          </w:tcPr>
          <w:p>
            <w:r>
              <w:t>P2 - 优化打分函数</w:t>
            </w:r>
          </w:p>
        </w:tc>
        <w:tc>
          <w:tcPr>
            <w:tcW w:type="dxa" w:w="5040"/>
          </w:tcPr>
          <w:p>
            <w:r>
              <w:t>降低“质量/流动性”在当前模型中的权重，加入趋势持续性、回撤惩罚或斜率稳定性，提升信号的可交易性。</w:t>
            </w:r>
          </w:p>
        </w:tc>
      </w:tr>
      <w:tr>
        <w:tc>
          <w:tcPr>
            <w:tcW w:type="dxa" w:w="5040"/>
          </w:tcPr>
          <w:p>
            <w:r>
              <w:t>P3 - 做 walk-forward</w:t>
            </w:r>
          </w:p>
        </w:tc>
        <w:tc>
          <w:tcPr>
            <w:tcW w:type="dxa" w:w="5040"/>
          </w:tcPr>
          <w:p>
            <w:r>
              <w:t>用滚动窗口重新训练/验证权重，不要依赖整段样本的固定参数直接外推到未来。</w:t>
            </w:r>
          </w:p>
        </w:tc>
      </w:tr>
    </w:tbl>
    <w:p/>
    <w:p>
      <w:r>
        <w:rPr>
          <w:b/>
        </w:rPr>
        <w:t>最重要的判断：</w:t>
      </w:r>
      <w:r>
        <w:t>这不是一个“再调一点参数就能从 7.65% 变成 15%”的问题。它更像是一个需要先修执行、再收缩资产池、最后重做信号工程的系统性重构问题。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