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35" w:name="X7ce71fa78ae58cf45fe95f065c64aea6db4a033"/>
    <w:p>
      <w:pPr>
        <w:pStyle w:val="Heading1"/>
      </w:pPr>
      <w:r>
        <w:t xml:space="preserve">präNUDGE Architecture Review: Consolidated Issues &amp; Draft Resolutions</w:t>
      </w:r>
    </w:p>
    <w:p>
      <w:pPr>
        <w:pStyle w:val="FirstParagraph"/>
        <w:spacing w:line="240" w:lineRule="auto" w:before="0" w:after="0"/>
      </w:pPr>
      <w:r>
        <w:rPr>
          <w:bCs/>
          <w:b/>
        </w:rPr>
        <w:t xml:space="preserve">Document Type:</w:t>
      </w:r>
      <w:r>
        <w:t xml:space="preserve"> </w:t>
      </w:r>
      <w:r>
        <w:t xml:space="preserve">Architecture Review — Issue Register &amp; Resolution Proposals</w:t>
      </w:r>
    </w:p>
    <w:p>
      <w:pPr>
        <w:pStyle w:val="BodyText"/>
        <w:spacing w:line="240" w:lineRule="auto" w:before="0" w:after="0"/>
      </w:pPr>
      <w:r>
        <w:rPr>
          <w:bCs/>
          <w:b/>
        </w:rPr>
        <w:t xml:space="preserve">Date:</w:t>
      </w:r>
      <w:r>
        <w:t xml:space="preserve"> </w:t>
      </w:r>
      <w:r>
        <w:t xml:space="preserve">05.02.2026</w:t>
      </w:r>
    </w:p>
    <w:p>
      <w:pPr>
        <w:pStyle w:val="BodyText"/>
        <w:spacing w:line="240" w:lineRule="auto" w:before="0" w:after="0"/>
      </w:pPr>
      <w:r>
        <w:rPr>
          <w:bCs/>
          <w:b/>
        </w:rPr>
        <w:t xml:space="preserve">Author:</w:t>
      </w:r>
      <w:r>
        <w:t xml:space="preserve"> </w:t>
      </w:r>
      <w:r>
        <w:t xml:space="preserve">Zvonimir Oreč</w:t>
      </w:r>
    </w:p>
    <w:p>
      <w:pPr>
        <w:pStyle w:val="BodyText"/>
        <w:spacing w:line="240" w:lineRule="auto" w:before="0" w:after="0"/>
      </w:pPr>
      <w:r>
        <w:rPr>
          <w:bCs/>
          <w:b/>
        </w:rPr>
        <w:t xml:space="preserve">Review Scope:</w:t>
      </w:r>
      <w:r>
        <w:t xml:space="preserve"> </w:t>
      </w:r>
      <w:r>
        <w:t xml:space="preserve">ADR-001, ADR-002, Tech Stack &amp; Decisions (V0-1)</w:t>
      </w:r>
    </w:p>
    <w:p>
      <w:pPr>
        <w:pStyle w:val="BodyText"/>
        <w:spacing w:line="240" w:lineRule="auto" w:before="0" w:after="0"/>
      </w:pPr>
      <w:r>
        <w:rPr>
          <w:bCs/>
          <w:b/>
        </w:rPr>
        <w:t xml:space="preserve">Target Audience:</w:t>
      </w:r>
      <w:r>
        <w:t xml:space="preserve"> </w:t>
      </w:r>
      <w:r>
        <w:t xml:space="preserve">WP4 Technical Leads, Know Center Development Team, Design Review (17.02.2026)</w:t>
      </w:r>
    </w:p>
    <w:p>
      <w:pPr>
        <w:pStyle w:val="BodyText"/>
        <w:spacing w:line="240" w:lineRule="auto" w:before="0" w:after="0"/>
      </w:pPr>
      <w:r>
        <w:rPr>
          <w:bCs/>
          <w:b/>
        </w:rPr>
        <w:t xml:space="preserve">Status:</w:t>
      </w:r>
      <w:r>
        <w:t xml:space="preserve"> </w:t>
      </w:r>
      <w:r>
        <w:t xml:space="preserve">Draft for Review</w:t>
      </w:r>
    </w:p>
    <w:bookmarkStart w:id="20" w:name="purpose"/>
    <w:p>
      <w:pPr>
        <w:pStyle w:val="Heading2"/>
      </w:pPr>
      <w:r>
        <w:t xml:space="preserve">1. Purpose</w:t>
      </w:r>
    </w:p>
    <w:p>
      <w:pPr>
        <w:pStyle w:val="FirstParagraph"/>
      </w:pPr>
      <w:r>
        <w:t xml:space="preserve">This document consolidates all inconsistencies, gaps, and open questions identified during the architectural review of three foundational präNUDGE documents:</w:t>
      </w:r>
    </w:p>
    <w:p>
      <w:pPr>
        <w:numPr>
          <w:ilvl w:val="0"/>
          <w:numId w:val="1001"/>
        </w:numPr>
        <w:pStyle w:val="Compact"/>
        <w:spacing w:line="240" w:lineRule="auto" w:before="0" w:after="0"/>
      </w:pPr>
      <w:r>
        <w:rPr>
          <w:bCs/>
          <w:b/>
        </w:rPr>
        <w:t xml:space="preserve">ADR-001:</w:t>
      </w:r>
      <w:r>
        <w:t xml:space="preserve"> </w:t>
      </w:r>
      <w:r>
        <w:t xml:space="preserve">Migrate Mobile App Flutter to React Native</w:t>
      </w:r>
    </w:p>
    <w:p>
      <w:pPr>
        <w:numPr>
          <w:ilvl w:val="0"/>
          <w:numId w:val="1001"/>
        </w:numPr>
        <w:pStyle w:val="Compact"/>
        <w:spacing w:line="240" w:lineRule="auto" w:before="0" w:after="0"/>
      </w:pPr>
      <w:r>
        <w:rPr>
          <w:bCs/>
          <w:b/>
        </w:rPr>
        <w:t xml:space="preserve">ADR-002:</w:t>
      </w:r>
      <w:r>
        <w:t xml:space="preserve"> </w:t>
      </w:r>
      <w:r>
        <w:t xml:space="preserve">EU-First Infrastructure</w:t>
      </w:r>
    </w:p>
    <w:p>
      <w:pPr>
        <w:numPr>
          <w:ilvl w:val="0"/>
          <w:numId w:val="1001"/>
        </w:numPr>
        <w:pStyle w:val="Compact"/>
        <w:spacing w:line="240" w:lineRule="auto" w:before="0" w:after="0"/>
      </w:pPr>
      <w:r>
        <w:rPr>
          <w:bCs/>
          <w:b/>
        </w:rPr>
        <w:t xml:space="preserve">Tech Stack &amp; Decisions V0-1:</w:t>
      </w:r>
      <w:r>
        <w:t xml:space="preserve"> </w:t>
      </w:r>
      <w:r>
        <w:t xml:space="preserve">Single source of truth for all stack choices</w:t>
      </w:r>
    </w:p>
    <w:p>
      <w:pPr>
        <w:pStyle w:val="FirstParagraph"/>
      </w:pPr>
      <w:r>
        <w:t xml:space="preserve">Each issue includes a severity classification, the affected documents, and a proposed resolution. The intent is to resolve all critical and high-priority items before the Design Review on 17 February 2026 and all medium-priority items before Q2 2026 development begins.</w:t>
      </w:r>
    </w:p>
    <w:bookmarkEnd w:id="20"/>
    <w:bookmarkStart w:id="21" w:name="severity-definitions"/>
    <w:p>
      <w:pPr>
        <w:pStyle w:val="Heading2"/>
      </w:pPr>
      <w:r>
        <w:t xml:space="preserve">2. Severity Definitions</w:t>
      </w:r>
    </w:p>
    <w:tbl>
      <w:tblPr>
        <w:tblStyle w:val="Table"/>
        <w:tblW w:type="pct" w:w="5000"/>
        <w:tblLook w:firstRow="1" w:lastRow="0" w:firstColumn="0" w:lastColumn="0" w:noHBand="0" w:noVBand="0" w:val="0020"/>
        <w:jc w:val="start"/>
        <w:tblLayout w:type="autofit"/>
      </w:tblPr>
      <w:tblGrid>
        <w:gridCol w:w="1735"/>
        <w:gridCol w:w="7335"/>
      </w:tblGrid>
      <w:tr>
        <w:trPr>
          <w:tblHeader w:val="true"/>
        </w:trPr>
        <w:tc>
          <w:tcPr>
            <w:tcW w:w="1735" w:type="dxa"/>
          </w:tcPr>
          <w:p>
            <w:pPr>
              <w:pStyle w:val="Compact"/>
              <w:jc w:val="left"/>
            </w:pPr>
            <w:r>
              <w:t xml:space="preserve">Severity</w:t>
            </w:r>
          </w:p>
        </w:tc>
        <w:tc>
          <w:tcPr>
            <w:tcW w:w="7335" w:type="dxa"/>
          </w:tcPr>
          <w:p>
            <w:pPr>
              <w:pStyle w:val="Compact"/>
              <w:jc w:val="left"/>
            </w:pPr>
            <w:r>
              <w:t xml:space="preserve">Definition</w:t>
            </w:r>
          </w:p>
        </w:tc>
      </w:tr>
      <w:tr>
        <w:tc>
          <w:tcPr>
            <w:tcW w:w="1735" w:type="dxa"/>
          </w:tcPr>
          <w:p>
            <w:pPr>
              <w:pStyle w:val="Compact"/>
              <w:jc w:val="left"/>
            </w:pPr>
            <w:r>
              <w:rPr>
                <w:bCs/>
                <w:b/>
              </w:rPr>
              <w:t xml:space="preserve">Critical</w:t>
            </w:r>
          </w:p>
        </w:tc>
        <w:tc>
          <w:tcPr>
            <w:tcW w:w="7335" w:type="dxa"/>
          </w:tcPr>
          <w:p>
            <w:pPr>
              <w:pStyle w:val="Compact"/>
              <w:jc w:val="left"/>
            </w:pPr>
            <w:r>
              <w:t xml:space="preserve">Contradictions between documents that will cause implementation conflicts if unresolved. Must be resolved before development starts.</w:t>
            </w:r>
          </w:p>
        </w:tc>
      </w:tr>
      <w:tr>
        <w:tc>
          <w:tcPr>
            <w:tcW w:w="1735" w:type="dxa"/>
          </w:tcPr>
          <w:p>
            <w:pPr>
              <w:pStyle w:val="Compact"/>
              <w:jc w:val="left"/>
            </w:pPr>
            <w:r>
              <w:rPr>
                <w:bCs/>
                <w:b/>
              </w:rPr>
              <w:t xml:space="preserve">High</w:t>
            </w:r>
          </w:p>
        </w:tc>
        <w:tc>
          <w:tcPr>
            <w:tcW w:w="7335" w:type="dxa"/>
          </w:tcPr>
          <w:p>
            <w:pPr>
              <w:pStyle w:val="Compact"/>
              <w:jc w:val="left"/>
            </w:pPr>
            <w:r>
              <w:t xml:space="preserve">Gaps or inconsistencies that affect audit readiness, consortium alignment, or architectural coherence. Should be resolved before Design Review.</w:t>
            </w:r>
          </w:p>
        </w:tc>
      </w:tr>
      <w:tr>
        <w:tc>
          <w:tcPr>
            <w:tcW w:w="1735" w:type="dxa"/>
          </w:tcPr>
          <w:p>
            <w:pPr>
              <w:pStyle w:val="Compact"/>
              <w:jc w:val="left"/>
            </w:pPr>
            <w:r>
              <w:rPr>
                <w:bCs/>
                <w:b/>
              </w:rPr>
              <w:t xml:space="preserve">Medium</w:t>
            </w:r>
          </w:p>
        </w:tc>
        <w:tc>
          <w:tcPr>
            <w:tcW w:w="7335" w:type="dxa"/>
          </w:tcPr>
          <w:p>
            <w:pPr>
              <w:pStyle w:val="Compact"/>
              <w:jc w:val="left"/>
            </w:pPr>
            <w:r>
              <w:t xml:space="preserve">Open questions or missing specifics that should be closed before full development but do not block initial work.</w:t>
            </w:r>
          </w:p>
        </w:tc>
      </w:tr>
      <w:tr>
        <w:tc>
          <w:tcPr>
            <w:tcW w:w="1735" w:type="dxa"/>
          </w:tcPr>
          <w:p>
            <w:pPr>
              <w:pStyle w:val="Compact"/>
              <w:jc w:val="left"/>
            </w:pPr>
            <w:r>
              <w:rPr>
                <w:bCs/>
                <w:b/>
              </w:rPr>
              <w:t xml:space="preserve">Low</w:t>
            </w:r>
          </w:p>
        </w:tc>
        <w:tc>
          <w:tcPr>
            <w:tcW w:w="7335" w:type="dxa"/>
          </w:tcPr>
          <w:p>
            <w:pPr>
              <w:pStyle w:val="Compact"/>
              <w:jc w:val="left"/>
            </w:pPr>
            <w:r>
              <w:t xml:space="preserve">Improvements that strengthen the documents but are not blocking.</w:t>
            </w:r>
          </w:p>
        </w:tc>
      </w:tr>
    </w:tbl>
    <w:bookmarkEnd w:id="21"/>
    <w:bookmarkStart w:id="32" w:name="consolidated-issues-register"/>
    <w:p>
      <w:pPr>
        <w:pStyle w:val="Heading2"/>
      </w:pPr>
      <w:r>
        <w:t xml:space="preserve">3. Consolidated Issues Register</w:t>
      </w:r>
    </w:p>
    <w:bookmarkStart w:id="22" w:name="X80ab1dc5227e122cb8a0119b019ba634ccf0cb0"/>
    <w:p>
      <w:pPr>
        <w:pStyle w:val="Heading3"/>
      </w:pPr>
      <w:r>
        <w:t xml:space="preserve">ISSUE-001: State Management Architecture Contradiction</w:t>
      </w:r>
    </w:p>
    <w:p>
      <w:pPr>
        <w:pStyle w:val="FirstParagraph"/>
        <w:spacing w:line="240" w:lineRule="auto" w:before="0" w:after="0"/>
      </w:pPr>
      <w:r>
        <w:rPr>
          <w:bCs/>
          <w:b/>
        </w:rPr>
        <w:t xml:space="preserve">Severity:</w:t>
      </w:r>
      <w:r>
        <w:t xml:space="preserve"> </w:t>
      </w:r>
      <w:r>
        <w:t xml:space="preserve">Critical</w:t>
      </w:r>
    </w:p>
    <w:p>
      <w:pPr>
        <w:pStyle w:val="BodyText"/>
        <w:spacing w:line="240" w:lineRule="auto" w:before="0" w:after="0"/>
      </w:pPr>
      <w:r>
        <w:rPr>
          <w:bCs/>
          <w:b/>
        </w:rPr>
        <w:t xml:space="preserve">Affected Documents:</w:t>
      </w:r>
      <w:r>
        <w:t xml:space="preserve"> </w:t>
      </w:r>
      <w:r>
        <w:t xml:space="preserve">ADR-001, Tech Stack &amp; Decisions</w:t>
      </w:r>
    </w:p>
    <w:p>
      <w:pPr>
        <w:pStyle w:val="BodyText"/>
        <w:spacing w:line="240" w:lineRule="auto" w:before="0" w:after="0"/>
      </w:pPr>
      <w:r>
        <w:rPr>
          <w:bCs/>
          <w:b/>
        </w:rPr>
        <w:t xml:space="preserve">Category:</w:t>
      </w:r>
      <w:r>
        <w:t xml:space="preserve"> </w:t>
      </w:r>
      <w:r>
        <w:t xml:space="preserve">Cross-document inconsistency</w:t>
      </w:r>
    </w:p>
    <w:p>
      <w:pPr>
        <w:pStyle w:val="BodyText"/>
      </w:pPr>
      <w:r>
        <w:rPr>
          <w:bCs/>
          <w:b/>
        </w:rPr>
        <w:t xml:space="preserve">Description:</w:t>
      </w:r>
      <w:r>
        <w:t xml:space="preserve"> </w:t>
      </w:r>
      <w:r>
        <w:t xml:space="preserve">ADR-001 specifies Redux + Redux Toolkit + Redux Persist as the state management solution throughout the document, including the architecture sketch and implementation phases. The Tech Stack &amp; Decisions document (Section 4.2, technology comparison table) specifies React Query + Zustand as the state management approach, noting it</w:t>
      </w:r>
      <w:r>
        <w:t xml:space="preserve"> </w:t>
      </w:r>
      <w:r>
        <w:t xml:space="preserve">“</w:t>
      </w:r>
      <w:r>
        <w:t xml:space="preserve">aligns with Next.js patterns.</w:t>
      </w:r>
      <w:r>
        <w:t xml:space="preserve">”</w:t>
      </w:r>
    </w:p>
    <w:p>
      <w:pPr>
        <w:pStyle w:val="BodyText"/>
      </w:pPr>
      <w:r>
        <w:t xml:space="preserve">These are fundamentally different architectures:</w:t>
      </w:r>
    </w:p>
    <w:p>
      <w:pPr>
        <w:numPr>
          <w:ilvl w:val="0"/>
          <w:numId w:val="1002"/>
        </w:numPr>
        <w:pStyle w:val="Compact"/>
      </w:pPr>
      <w:r>
        <w:rPr>
          <w:bCs/>
          <w:b/>
        </w:rPr>
        <w:t xml:space="preserve">Redux + Redux Toolkit:</w:t>
      </w:r>
      <w:r>
        <w:t xml:space="preserve"> </w:t>
      </w:r>
      <w:r>
        <w:t xml:space="preserve">Centralised store, action-driven, mature middleware ecosystem (thunks, sagas), Redux Persist for offline. Higher boilerplate, steeper learning curve, powerful debugging (time-travel via Redux DevTools).</w:t>
      </w:r>
    </w:p>
    <w:p>
      <w:pPr>
        <w:numPr>
          <w:ilvl w:val="0"/>
          <w:numId w:val="1002"/>
        </w:numPr>
        <w:pStyle w:val="Compact"/>
      </w:pPr>
      <w:r>
        <w:rPr>
          <w:bCs/>
          <w:b/>
        </w:rPr>
        <w:t xml:space="preserve">Zustand + React Query:</w:t>
      </w:r>
      <w:r>
        <w:t xml:space="preserve"> </w:t>
      </w:r>
      <w:r>
        <w:t xml:space="preserve">Zustand for client state (lightweight, minimal boilerplate), React Query for server state (caching, sync, background refetch). Simpler mental model, less code, aligns with modern React patterns.</w:t>
      </w:r>
    </w:p>
    <w:p>
      <w:pPr>
        <w:pStyle w:val="FirstParagraph"/>
      </w:pPr>
      <w:r>
        <w:rPr>
          <w:bCs/>
          <w:b/>
        </w:rPr>
        <w:t xml:space="preserve">Impact:</w:t>
      </w:r>
      <w:r>
        <w:t xml:space="preserve"> </w:t>
      </w:r>
      <w:r>
        <w:t xml:space="preserve">If development begins without resolution, the mobile team and web team may implement different patterns, creating divergent architectures within the same monorepo.</w:t>
      </w:r>
    </w:p>
    <w:p>
      <w:pPr>
        <w:pStyle w:val="BodyText"/>
      </w:pPr>
      <w:r>
        <w:rPr>
          <w:bCs/>
          <w:b/>
        </w:rPr>
        <w:t xml:space="preserve">Proposed Resolution:</w:t>
      </w:r>
      <w:r>
        <w:t xml:space="preserve"> </w:t>
      </w:r>
      <w:r>
        <w:t xml:space="preserve">Adopt</w:t>
      </w:r>
      <w:r>
        <w:t xml:space="preserve"> </w:t>
      </w:r>
      <w:r>
        <w:rPr>
          <w:bCs/>
          <w:b/>
        </w:rPr>
        <w:t xml:space="preserve">Zustand + TanStack Query (React Query)</w:t>
      </w:r>
      <w:r>
        <w:t xml:space="preserve"> </w:t>
      </w:r>
      <w:r>
        <w:t xml:space="preserve">for the following reasons:</w:t>
      </w:r>
    </w:p>
    <w:p>
      <w:pPr>
        <w:numPr>
          <w:ilvl w:val="0"/>
          <w:numId w:val="1003"/>
        </w:numPr>
        <w:pStyle w:val="Compact"/>
      </w:pPr>
      <w:r>
        <w:rPr>
          <w:bCs/>
          <w:b/>
        </w:rPr>
        <w:t xml:space="preserve">TRL 4 Realism Principle.</w:t>
      </w:r>
      <w:r>
        <w:t xml:space="preserve"> </w:t>
      </w:r>
      <w:r>
        <w:t xml:space="preserve">Zustand + React Query requires significantly less boilerplate than Redux Toolkit. For a demonstrator, simplicity wins.</w:t>
      </w:r>
    </w:p>
    <w:p>
      <w:pPr>
        <w:numPr>
          <w:ilvl w:val="0"/>
          <w:numId w:val="1003"/>
        </w:numPr>
        <w:pStyle w:val="Compact"/>
      </w:pPr>
      <w:r>
        <w:rPr>
          <w:bCs/>
          <w:b/>
        </w:rPr>
        <w:t xml:space="preserve">Web/Mobile Alignment.</w:t>
      </w:r>
      <w:r>
        <w:t xml:space="preserve"> </w:t>
      </w:r>
      <w:r>
        <w:t xml:space="preserve">The Next.js admin frontend already uses TanStack Query. Using the same data-fetching pattern on mobile reduces cognitive overhead.</w:t>
      </w:r>
    </w:p>
    <w:p>
      <w:pPr>
        <w:numPr>
          <w:ilvl w:val="0"/>
          <w:numId w:val="1003"/>
        </w:numPr>
        <w:pStyle w:val="Compact"/>
      </w:pPr>
      <w:r>
        <w:rPr>
          <w:bCs/>
          <w:b/>
        </w:rPr>
        <w:t xml:space="preserve">Offline-First.</w:t>
      </w:r>
      <w:r>
        <w:t xml:space="preserve"> </w:t>
      </w:r>
      <w:r>
        <w:t xml:space="preserve">TanStack Query supports persistent caching via plugins (e.g.,</w:t>
      </w:r>
      <w:r>
        <w:t xml:space="preserve"> </w:t>
      </w:r>
      <w:r>
        <w:rPr>
          <w:rStyle w:val="VerbatimChar"/>
        </w:rPr>
        <w:t xml:space="preserve">@tanstack/query-persist-client</w:t>
      </w:r>
      <w:r>
        <w:t xml:space="preserve">). Combined with Zustand’s</w:t>
      </w:r>
      <w:r>
        <w:t xml:space="preserve"> </w:t>
      </w:r>
      <w:r>
        <w:rPr>
          <w:rStyle w:val="VerbatimChar"/>
        </w:rPr>
        <w:t xml:space="preserve">persist</w:t>
      </w:r>
      <w:r>
        <w:t xml:space="preserve"> </w:t>
      </w:r>
      <w:r>
        <w:t xml:space="preserve">middleware, this covers offline requirements without Redux Persist.</w:t>
      </w:r>
    </w:p>
    <w:p>
      <w:pPr>
        <w:numPr>
          <w:ilvl w:val="0"/>
          <w:numId w:val="1003"/>
        </w:numPr>
        <w:pStyle w:val="Compact"/>
      </w:pPr>
      <w:r>
        <w:rPr>
          <w:bCs/>
          <w:b/>
        </w:rPr>
        <w:t xml:space="preserve">Team Expertise.</w:t>
      </w:r>
      <w:r>
        <w:t xml:space="preserve"> </w:t>
      </w:r>
      <w:r>
        <w:t xml:space="preserve">The Know Center team has TypeScript/React experience. Zustand’s API is closer to React hooks patterns than Redux’s action/reducer/selector paradigm.</w:t>
      </w:r>
    </w:p>
    <w:p>
      <w:pPr>
        <w:pStyle w:val="FirstParagraph"/>
      </w:pPr>
      <w:r>
        <w:rPr>
          <w:bCs/>
          <w:b/>
        </w:rPr>
        <w:t xml:space="preserve">Action Required:</w:t>
      </w:r>
    </w:p>
    <w:p>
      <w:pPr>
        <w:numPr>
          <w:ilvl w:val="0"/>
          <w:numId w:val="1004"/>
        </w:numPr>
        <w:pStyle w:val="Compact"/>
      </w:pPr>
      <w:r>
        <w:t xml:space="preserve">Update ADR-001 to replace all Redux references with Zustand + TanStack Query.</w:t>
      </w:r>
    </w:p>
    <w:p>
      <w:pPr>
        <w:numPr>
          <w:ilvl w:val="0"/>
          <w:numId w:val="1004"/>
        </w:numPr>
        <w:pStyle w:val="Compact"/>
      </w:pPr>
      <w:r>
        <w:t xml:space="preserve">Update the architecture sketch in ADR-001 accordingly.</w:t>
      </w:r>
    </w:p>
    <w:p>
      <w:pPr>
        <w:numPr>
          <w:ilvl w:val="0"/>
          <w:numId w:val="1004"/>
        </w:numPr>
        <w:pStyle w:val="Compact"/>
      </w:pPr>
      <w:r>
        <w:t xml:space="preserve">Confirm the Tech Stack document’s position as authoritative.</w:t>
      </w:r>
    </w:p>
    <w:p>
      <w:pPr>
        <w:numPr>
          <w:ilvl w:val="0"/>
          <w:numId w:val="1004"/>
        </w:numPr>
        <w:pStyle w:val="Compact"/>
      </w:pPr>
      <w:r>
        <w:t xml:space="preserve">Document this sub-decision as a note within ADR-001 or as a lightweight ADR addendum.</w:t>
      </w:r>
    </w:p>
    <w:p>
      <w:pPr>
        <w:pStyle w:val="FirstParagraph"/>
        <w:spacing w:line="240" w:lineRule="auto" w:before="0" w:after="0"/>
      </w:pPr>
      <w:r>
        <w:rPr>
          <w:bCs/>
          <w:b/>
        </w:rPr>
        <w:t xml:space="preserve">Owner:</w:t>
      </w:r>
      <w:r>
        <w:t xml:space="preserve"> </w:t>
      </w:r>
      <w:r>
        <w:t xml:space="preserve">Mario Bulić</w:t>
      </w:r>
    </w:p>
    <w:p>
      <w:pPr>
        <w:pStyle w:val="BodyText"/>
        <w:spacing w:line="240" w:lineRule="auto" w:before="0" w:after="0"/>
      </w:pPr>
      <w:r>
        <w:rPr>
          <w:bCs/>
          <w:b/>
        </w:rPr>
        <w:t xml:space="preserve">Deadline:</w:t>
      </w:r>
      <w:r>
        <w:t xml:space="preserve"> </w:t>
      </w:r>
      <w:r>
        <w:t xml:space="preserve">Before Design Review (17.02.2026)</w:t>
      </w:r>
    </w:p>
    <w:bookmarkEnd w:id="22"/>
    <w:bookmarkStart w:id="23" w:name="Xf543840b2d0b7d11c08978d06722c03c95750da"/>
    <w:p>
      <w:pPr>
        <w:pStyle w:val="Heading3"/>
      </w:pPr>
      <w:r>
        <w:t xml:space="preserve">ISSUE-002: Firebase Push Notification Policy Contradiction</w:t>
      </w:r>
    </w:p>
    <w:p>
      <w:pPr>
        <w:pStyle w:val="FirstParagraph"/>
        <w:spacing w:line="240" w:lineRule="auto" w:before="0" w:after="0"/>
      </w:pPr>
      <w:r>
        <w:rPr>
          <w:bCs/>
          <w:b/>
        </w:rPr>
        <w:t xml:space="preserve">Severity:</w:t>
      </w:r>
      <w:r>
        <w:t xml:space="preserve"> </w:t>
      </w:r>
      <w:r>
        <w:t xml:space="preserve">High</w:t>
      </w:r>
    </w:p>
    <w:p>
      <w:pPr>
        <w:pStyle w:val="BodyText"/>
        <w:spacing w:line="240" w:lineRule="auto" w:before="0" w:after="0"/>
      </w:pPr>
      <w:r>
        <w:rPr>
          <w:bCs/>
          <w:b/>
        </w:rPr>
        <w:t xml:space="preserve">Affected Documents:</w:t>
      </w:r>
      <w:r>
        <w:t xml:space="preserve"> </w:t>
      </w:r>
      <w:r>
        <w:t xml:space="preserve">ADR-002, Tech Stack &amp; Decisions</w:t>
      </w:r>
    </w:p>
    <w:p>
      <w:pPr>
        <w:pStyle w:val="BodyText"/>
        <w:spacing w:line="240" w:lineRule="auto" w:before="0" w:after="0"/>
      </w:pPr>
      <w:r>
        <w:rPr>
          <w:bCs/>
          <w:b/>
        </w:rPr>
        <w:t xml:space="preserve">Category:</w:t>
      </w:r>
      <w:r>
        <w:t xml:space="preserve"> </w:t>
      </w:r>
      <w:r>
        <w:t xml:space="preserve">Cross-document inconsistency</w:t>
      </w:r>
    </w:p>
    <w:p>
      <w:pPr>
        <w:pStyle w:val="BodyText"/>
      </w:pPr>
      <w:r>
        <w:rPr>
          <w:bCs/>
          <w:b/>
        </w:rPr>
        <w:t xml:space="preserve">Description:</w:t>
      </w:r>
      <w:r>
        <w:t xml:space="preserve"> </w:t>
      </w:r>
      <w:r>
        <w:t xml:space="preserve">ADR-002 explicitly permits Firebase Cloud Messaging (FCM) as a push notification fallback, stating:</w:t>
      </w:r>
      <w:r>
        <w:t xml:space="preserve"> </w:t>
      </w:r>
      <w:r>
        <w:t xml:space="preserve">“</w:t>
      </w:r>
      <w:r>
        <w:t xml:space="preserve">Firebase Cloud Messaging as push fallback (notification text only, no health data in payload).</w:t>
      </w:r>
      <w:r>
        <w:t xml:space="preserve">”</w:t>
      </w:r>
    </w:p>
    <w:p>
      <w:pPr>
        <w:pStyle w:val="BodyText"/>
      </w:pPr>
      <w:r>
        <w:t xml:space="preserve">The Tech Stack &amp; Decisions document (Section 3, Mobile Client layer) states:</w:t>
      </w:r>
      <w:r>
        <w:t xml:space="preserve"> </w:t>
      </w:r>
      <w:r>
        <w:t xml:space="preserve">“</w:t>
      </w:r>
      <w:r>
        <w:t xml:space="preserve">No Firebase dependency per ADR-002</w:t>
      </w:r>
      <w:r>
        <w:t xml:space="preserve">”</w:t>
      </w:r>
      <w:r>
        <w:t xml:space="preserve"> </w:t>
      </w:r>
      <w:r>
        <w:t xml:space="preserve">and prescribes</w:t>
      </w:r>
      <w:r>
        <w:t xml:space="preserve"> </w:t>
      </w:r>
      <w:r>
        <w:t xml:space="preserve">“</w:t>
      </w:r>
      <w:r>
        <w:t xml:space="preserve">Notifee / expo-notifications via EU-hosted endpoints (ntfy.sh self-hosted or UnifiedPush).</w:t>
      </w:r>
      <w:r>
        <w:t xml:space="preserve">”</w:t>
      </w:r>
    </w:p>
    <w:p>
      <w:pPr>
        <w:pStyle w:val="BodyText"/>
      </w:pPr>
      <w:r>
        <w:t xml:space="preserve">These positions are contradictory. ADR-002 allows FCM; the Tech Stack document claims ADR-002 forbids it.</w:t>
      </w:r>
    </w:p>
    <w:p>
      <w:pPr>
        <w:pStyle w:val="BodyText"/>
      </w:pPr>
      <w:r>
        <w:rPr>
          <w:bCs/>
          <w:b/>
        </w:rPr>
        <w:t xml:space="preserve">Impact:</w:t>
      </w:r>
      <w:r>
        <w:t xml:space="preserve"> </w:t>
      </w:r>
      <w:r>
        <w:t xml:space="preserve">Ambiguity during implementation. A developer reading ADR-002 would consider FCM acceptable; a developer reading the Tech Stack document would not. For FFG audit purposes, the presence of any Google service dependency in a health data project creates scrutiny, even if no health data flows through it.</w:t>
      </w:r>
    </w:p>
    <w:p>
      <w:pPr>
        <w:pStyle w:val="BodyText"/>
      </w:pPr>
      <w:r>
        <w:rPr>
          <w:bCs/>
          <w:b/>
        </w:rPr>
        <w:t xml:space="preserve">Proposed Resolution:</w:t>
      </w:r>
      <w:r>
        <w:t xml:space="preserve"> </w:t>
      </w:r>
      <w:r>
        <w:t xml:space="preserve">Remove Firebase Cloud Messaging entirely from the approved stack.</w:t>
      </w:r>
    </w:p>
    <w:p>
      <w:pPr>
        <w:pStyle w:val="BodyText"/>
      </w:pPr>
      <w:r>
        <w:t xml:space="preserve">Rationale:</w:t>
      </w:r>
    </w:p>
    <w:p>
      <w:pPr>
        <w:numPr>
          <w:ilvl w:val="0"/>
          <w:numId w:val="1005"/>
        </w:numPr>
        <w:pStyle w:val="Compact"/>
      </w:pPr>
      <w:r>
        <w:rPr>
          <w:bCs/>
          <w:b/>
        </w:rPr>
        <w:t xml:space="preserve">Audit Simplicity.</w:t>
      </w:r>
      <w:r>
        <w:t xml:space="preserve"> </w:t>
      </w:r>
      <w:r>
        <w:t xml:space="preserve">Explaining</w:t>
      </w:r>
      <w:r>
        <w:t xml:space="preserve"> </w:t>
      </w:r>
      <w:r>
        <w:t xml:space="preserve">“</w:t>
      </w:r>
      <w:r>
        <w:t xml:space="preserve">we use Google but only for non-health data</w:t>
      </w:r>
      <w:r>
        <w:t xml:space="preserve">”</w:t>
      </w:r>
      <w:r>
        <w:t xml:space="preserve"> </w:t>
      </w:r>
      <w:r>
        <w:t xml:space="preserve">creates audit surface area. A clean</w:t>
      </w:r>
      <w:r>
        <w:t xml:space="preserve"> </w:t>
      </w:r>
      <w:r>
        <w:t xml:space="preserve">“</w:t>
      </w:r>
      <w:r>
        <w:t xml:space="preserve">no US service dependencies in the patient-facing app</w:t>
      </w:r>
      <w:r>
        <w:t xml:space="preserve">”</w:t>
      </w:r>
      <w:r>
        <w:t xml:space="preserve"> </w:t>
      </w:r>
      <w:r>
        <w:t xml:space="preserve">is easier to defend.</w:t>
      </w:r>
    </w:p>
    <w:p>
      <w:pPr>
        <w:numPr>
          <w:ilvl w:val="0"/>
          <w:numId w:val="1005"/>
        </w:numPr>
        <w:pStyle w:val="Compact"/>
      </w:pPr>
      <w:r>
        <w:rPr>
          <w:bCs/>
          <w:b/>
        </w:rPr>
        <w:t xml:space="preserve">Technical Feasibility.</w:t>
      </w:r>
      <w:r>
        <w:t xml:space="preserve"> </w:t>
      </w:r>
      <w:r>
        <w:t xml:space="preserve">Self-hosted ntfy.sh is a lightweight Go binary. For TRL 4 with 17 study participants, it is more than adequate.</w:t>
      </w:r>
    </w:p>
    <w:p>
      <w:pPr>
        <w:numPr>
          <w:ilvl w:val="0"/>
          <w:numId w:val="1005"/>
        </w:numPr>
        <w:pStyle w:val="Compact"/>
      </w:pPr>
      <w:r>
        <w:rPr>
          <w:bCs/>
          <w:b/>
        </w:rPr>
        <w:t xml:space="preserve">Consistency.</w:t>
      </w:r>
      <w:r>
        <w:t xml:space="preserve"> </w:t>
      </w:r>
      <w:r>
        <w:t xml:space="preserve">The EU-first principle should apply uniformly to the mobile app. CI/CD (GitHub Actions) is a developer tool, not a patient-facing service — the distinction is clean.</w:t>
      </w:r>
    </w:p>
    <w:p>
      <w:pPr>
        <w:pStyle w:val="FirstParagraph"/>
      </w:pPr>
      <w:r>
        <w:rPr>
          <w:bCs/>
          <w:b/>
        </w:rPr>
        <w:t xml:space="preserve">Action Required:</w:t>
      </w:r>
    </w:p>
    <w:p>
      <w:pPr>
        <w:numPr>
          <w:ilvl w:val="0"/>
          <w:numId w:val="1006"/>
        </w:numPr>
        <w:pStyle w:val="Compact"/>
      </w:pPr>
      <w:r>
        <w:t xml:space="preserve">Update ADR-002 to remove the FCM fallback clause. State that push notifications use EU-hosted infrastructure exclusively.</w:t>
      </w:r>
    </w:p>
    <w:p>
      <w:pPr>
        <w:numPr>
          <w:ilvl w:val="0"/>
          <w:numId w:val="1006"/>
        </w:numPr>
        <w:pStyle w:val="Compact"/>
      </w:pPr>
      <w:r>
        <w:t xml:space="preserve">Confirm the Tech Stack document’s position (ntfy.sh / UnifiedPush) as the single approved approach.</w:t>
      </w:r>
    </w:p>
    <w:p>
      <w:pPr>
        <w:pStyle w:val="FirstParagraph"/>
        <w:spacing w:line="240" w:lineRule="auto" w:before="0" w:after="0"/>
      </w:pPr>
      <w:r>
        <w:rPr>
          <w:bCs/>
          <w:b/>
        </w:rPr>
        <w:t xml:space="preserve">Owner:</w:t>
      </w:r>
      <w:r>
        <w:t xml:space="preserve"> </w:t>
      </w:r>
      <w:r>
        <w:t xml:space="preserve">Mario Bulić + WP5 Platform Team</w:t>
      </w:r>
    </w:p>
    <w:p>
      <w:pPr>
        <w:pStyle w:val="BodyText"/>
        <w:spacing w:line="240" w:lineRule="auto" w:before="0" w:after="0"/>
      </w:pPr>
      <w:r>
        <w:rPr>
          <w:bCs/>
          <w:b/>
        </w:rPr>
        <w:t xml:space="preserve">Deadline:</w:t>
      </w:r>
      <w:r>
        <w:t xml:space="preserve"> </w:t>
      </w:r>
      <w:r>
        <w:t xml:space="preserve">Before Design Review (17.02.2026)</w:t>
      </w:r>
    </w:p>
    <w:bookmarkEnd w:id="23"/>
    <w:bookmarkStart w:id="24" w:name="X5f759905d62f55465f6211d109961b8480867e8"/>
    <w:p>
      <w:pPr>
        <w:pStyle w:val="Heading3"/>
      </w:pPr>
      <w:r>
        <w:t xml:space="preserve">ISSUE-003: ADR-002 Status Dependency Inversion</w:t>
      </w:r>
    </w:p>
    <w:p>
      <w:pPr>
        <w:pStyle w:val="FirstParagraph"/>
        <w:spacing w:line="240" w:lineRule="auto" w:before="0" w:after="0"/>
      </w:pPr>
      <w:r>
        <w:rPr>
          <w:bCs/>
          <w:b/>
        </w:rPr>
        <w:t xml:space="preserve">Severity:</w:t>
      </w:r>
      <w:r>
        <w:t xml:space="preserve"> </w:t>
      </w:r>
      <w:r>
        <w:t xml:space="preserve">High</w:t>
      </w:r>
    </w:p>
    <w:p>
      <w:pPr>
        <w:pStyle w:val="BodyText"/>
        <w:spacing w:line="240" w:lineRule="auto" w:before="0" w:after="0"/>
      </w:pPr>
      <w:r>
        <w:rPr>
          <w:bCs/>
          <w:b/>
        </w:rPr>
        <w:t xml:space="preserve">Affected Documents:</w:t>
      </w:r>
      <w:r>
        <w:t xml:space="preserve"> </w:t>
      </w:r>
      <w:r>
        <w:t xml:space="preserve">ADR-001, ADR-002</w:t>
      </w:r>
    </w:p>
    <w:p>
      <w:pPr>
        <w:pStyle w:val="BodyText"/>
        <w:spacing w:line="240" w:lineRule="auto" w:before="0" w:after="0"/>
      </w:pPr>
      <w:r>
        <w:rPr>
          <w:bCs/>
          <w:b/>
        </w:rPr>
        <w:t xml:space="preserve">Category:</w:t>
      </w:r>
      <w:r>
        <w:t xml:space="preserve"> </w:t>
      </w:r>
      <w:r>
        <w:t xml:space="preserve">Process / governance</w:t>
      </w:r>
    </w:p>
    <w:p>
      <w:pPr>
        <w:pStyle w:val="BodyText"/>
      </w:pPr>
      <w:r>
        <w:rPr>
          <w:bCs/>
          <w:b/>
        </w:rPr>
        <w:t xml:space="preserve">Description:</w:t>
      </w:r>
      <w:r>
        <w:t xml:space="preserve"> </w:t>
      </w:r>
      <w:r>
        <w:t xml:space="preserve">ADR-001 has status</w:t>
      </w:r>
      <w:r>
        <w:t xml:space="preserve"> </w:t>
      </w:r>
      <w:r>
        <w:t xml:space="preserve">“</w:t>
      </w:r>
      <w:r>
        <w:t xml:space="preserve">Accepted</w:t>
      </w:r>
      <w:r>
        <w:t xml:space="preserve">”</w:t>
      </w:r>
      <w:r>
        <w:t xml:space="preserve"> </w:t>
      </w:r>
      <w:r>
        <w:t xml:space="preserve">and references ADR-002 as established policy (e.g.,</w:t>
      </w:r>
      <w:r>
        <w:t xml:space="preserve"> </w:t>
      </w:r>
      <w:r>
        <w:t xml:space="preserve">“</w:t>
      </w:r>
      <w:r>
        <w:t xml:space="preserve">EU-First (ADR-002): Removes Flutter/Google telemetry; TypeScript ecosystem fully EU-compatible</w:t>
      </w:r>
      <w:r>
        <w:t xml:space="preserve">”</w:t>
      </w:r>
      <w:r>
        <w:t xml:space="preserve">). However, ADR-002 has status</w:t>
      </w:r>
      <w:r>
        <w:t xml:space="preserve"> </w:t>
      </w:r>
      <w:r>
        <w:t xml:space="preserve">“</w:t>
      </w:r>
      <w:r>
        <w:t xml:space="preserve">Under Review.</w:t>
      </w:r>
      <w:r>
        <w:t xml:space="preserve">”</w:t>
      </w:r>
    </w:p>
    <w:p>
      <w:pPr>
        <w:pStyle w:val="BodyText"/>
      </w:pPr>
      <w:r>
        <w:t xml:space="preserve">An accepted decision should not depend on an unaccepted decision. This creates a governance gap: if ADR-002 were rejected or significantly modified, the rationale underpinning ADR-001 would be weakened.</w:t>
      </w:r>
    </w:p>
    <w:p>
      <w:pPr>
        <w:pStyle w:val="BodyText"/>
      </w:pPr>
      <w:r>
        <w:rPr>
          <w:bCs/>
          <w:b/>
        </w:rPr>
        <w:t xml:space="preserve">Impact:</w:t>
      </w:r>
      <w:r>
        <w:t xml:space="preserve"> </w:t>
      </w:r>
      <w:r>
        <w:t xml:space="preserve">Primarily a process concern, but relevant for FFG audit traceability. Auditors expect decision chains to be logically consistent.</w:t>
      </w:r>
    </w:p>
    <w:p>
      <w:pPr>
        <w:pStyle w:val="BodyText"/>
      </w:pPr>
      <w:r>
        <w:rPr>
          <w:bCs/>
          <w:b/>
        </w:rPr>
        <w:t xml:space="preserve">Proposed Resolution:</w:t>
      </w:r>
      <w:r>
        <w:t xml:space="preserve"> </w:t>
      </w:r>
      <w:r>
        <w:t xml:space="preserve">Move ADR-002 to</w:t>
      </w:r>
      <w:r>
        <w:t xml:space="preserve"> </w:t>
      </w:r>
      <w:r>
        <w:t xml:space="preserve">“</w:t>
      </w:r>
      <w:r>
        <w:t xml:space="preserve">Accepted</w:t>
      </w:r>
      <w:r>
        <w:t xml:space="preserve">”</w:t>
      </w:r>
      <w:r>
        <w:t xml:space="preserve"> </w:t>
      </w:r>
      <w:r>
        <w:t xml:space="preserve">status. The EU-first infrastructure policy is not controversial within the consortium — it follows directly from GDPR Article 9 requirements, FFG funding conditions, and the Schrems II ruling. There is no realistic scenario where this ADR would be rejected.</w:t>
      </w:r>
    </w:p>
    <w:p>
      <w:pPr>
        <w:pStyle w:val="BodyText"/>
      </w:pPr>
      <w:r>
        <w:rPr>
          <w:bCs/>
          <w:b/>
        </w:rPr>
        <w:t xml:space="preserve">Action Required:</w:t>
      </w:r>
    </w:p>
    <w:p>
      <w:pPr>
        <w:numPr>
          <w:ilvl w:val="0"/>
          <w:numId w:val="1007"/>
        </w:numPr>
        <w:pStyle w:val="Compact"/>
      </w:pPr>
      <w:r>
        <w:t xml:space="preserve">Update ADR-002 status from</w:t>
      </w:r>
      <w:r>
        <w:t xml:space="preserve"> </w:t>
      </w:r>
      <w:r>
        <w:t xml:space="preserve">“</w:t>
      </w:r>
      <w:r>
        <w:t xml:space="preserve">Under Review</w:t>
      </w:r>
      <w:r>
        <w:t xml:space="preserve">”</w:t>
      </w:r>
      <w:r>
        <w:t xml:space="preserve"> </w:t>
      </w:r>
      <w:r>
        <w:t xml:space="preserve">to</w:t>
      </w:r>
      <w:r>
        <w:t xml:space="preserve"> </w:t>
      </w:r>
      <w:r>
        <w:t xml:space="preserve">“</w:t>
      </w:r>
      <w:r>
        <w:t xml:space="preserve">Accepted.</w:t>
      </w:r>
      <w:r>
        <w:t xml:space="preserve">”</w:t>
      </w:r>
    </w:p>
    <w:p>
      <w:pPr>
        <w:numPr>
          <w:ilvl w:val="0"/>
          <w:numId w:val="1007"/>
        </w:numPr>
        <w:pStyle w:val="Compact"/>
      </w:pPr>
      <w:r>
        <w:t xml:space="preserve">Record the acceptance date and participants.</w:t>
      </w:r>
    </w:p>
    <w:p>
      <w:pPr>
        <w:numPr>
          <w:ilvl w:val="0"/>
          <w:numId w:val="1007"/>
        </w:numPr>
        <w:pStyle w:val="Compact"/>
      </w:pPr>
      <w:r>
        <w:t xml:space="preserve">Update the Confluence ADR page accordingly.</w:t>
      </w:r>
    </w:p>
    <w:p>
      <w:pPr>
        <w:pStyle w:val="FirstParagraph"/>
        <w:spacing w:line="240" w:lineRule="auto" w:before="0" w:after="0"/>
      </w:pPr>
      <w:r>
        <w:rPr>
          <w:bCs/>
          <w:b/>
        </w:rPr>
        <w:t xml:space="preserve">Owner:</w:t>
      </w:r>
      <w:r>
        <w:t xml:space="preserve"> </w:t>
      </w:r>
      <w:r>
        <w:t xml:space="preserve">Mario Bulić</w:t>
      </w:r>
    </w:p>
    <w:p>
      <w:pPr>
        <w:pStyle w:val="BodyText"/>
        <w:spacing w:line="240" w:lineRule="auto" w:before="0" w:after="0"/>
      </w:pPr>
      <w:r>
        <w:rPr>
          <w:bCs/>
          <w:b/>
        </w:rPr>
        <w:t xml:space="preserve">Deadline:</w:t>
      </w:r>
      <w:r>
        <w:t xml:space="preserve"> </w:t>
      </w:r>
      <w:r>
        <w:t xml:space="preserve">Before Design Review (17.02.2026)</w:t>
      </w:r>
    </w:p>
    <w:bookmarkEnd w:id="24"/>
    <w:bookmarkStart w:id="25" w:name="issue-004-cicd-platform-inconsistency"/>
    <w:p>
      <w:pPr>
        <w:pStyle w:val="Heading3"/>
      </w:pPr>
      <w:r>
        <w:t xml:space="preserve">ISSUE-004: CI/CD Platform Inconsistency</w:t>
      </w:r>
    </w:p>
    <w:p>
      <w:pPr>
        <w:pStyle w:val="FirstParagraph"/>
        <w:spacing w:line="240" w:lineRule="auto" w:before="0" w:after="0"/>
      </w:pPr>
      <w:r>
        <w:rPr>
          <w:bCs/>
          <w:b/>
        </w:rPr>
        <w:t xml:space="preserve">Severity:</w:t>
      </w:r>
      <w:r>
        <w:t xml:space="preserve"> </w:t>
      </w:r>
      <w:r>
        <w:t xml:space="preserve">Medium</w:t>
      </w:r>
    </w:p>
    <w:p>
      <w:pPr>
        <w:pStyle w:val="BodyText"/>
        <w:spacing w:line="240" w:lineRule="auto" w:before="0" w:after="0"/>
      </w:pPr>
      <w:r>
        <w:rPr>
          <w:bCs/>
          <w:b/>
        </w:rPr>
        <w:t xml:space="preserve">Affected Documents:</w:t>
      </w:r>
      <w:r>
        <w:t xml:space="preserve"> </w:t>
      </w:r>
      <w:r>
        <w:t xml:space="preserve">Tech Stack &amp; Decisions (internal inconsistency)</w:t>
      </w:r>
    </w:p>
    <w:p>
      <w:pPr>
        <w:pStyle w:val="BodyText"/>
        <w:spacing w:line="240" w:lineRule="auto" w:before="0" w:after="0"/>
      </w:pPr>
      <w:r>
        <w:rPr>
          <w:bCs/>
          <w:b/>
        </w:rPr>
        <w:t xml:space="preserve">Category:</w:t>
      </w:r>
      <w:r>
        <w:t xml:space="preserve"> </w:t>
      </w:r>
      <w:r>
        <w:t xml:space="preserve">Internal inconsistency</w:t>
      </w:r>
    </w:p>
    <w:p>
      <w:pPr>
        <w:pStyle w:val="BodyText"/>
        <w:spacing w:line="240" w:lineRule="auto" w:before="0" w:after="0"/>
      </w:pPr>
      <w:r>
        <w:rPr>
          <w:bCs/>
          <w:b/>
        </w:rPr>
        <w:t xml:space="preserve">Description:</w:t>
      </w:r>
      <w:r>
        <w:t xml:space="preserve"> </w:t>
      </w:r>
      <w:r>
        <w:t xml:space="preserve">The Tech Stack document contains three different CI/CD references:</w:t>
      </w:r>
    </w:p>
    <w:p>
      <w:pPr>
        <w:numPr>
          <w:ilvl w:val="0"/>
          <w:numId w:val="1008"/>
        </w:numPr>
        <w:pStyle w:val="Compact"/>
      </w:pPr>
      <w:r>
        <w:t xml:space="preserve">Section 3 (DevOps layer):</w:t>
      </w:r>
      <w:r>
        <w:t xml:space="preserve"> </w:t>
      </w:r>
      <w:r>
        <w:t xml:space="preserve">“</w:t>
      </w:r>
      <w:r>
        <w:t xml:space="preserve">Gitlab Actions</w:t>
      </w:r>
      <w:r>
        <w:t xml:space="preserve">”</w:t>
      </w:r>
      <w:r>
        <w:t xml:space="preserve"> </w:t>
      </w:r>
      <w:r>
        <w:t xml:space="preserve">— this service does not exist. GitLab’s CI/CD product is called GitLab CI/CD.</w:t>
      </w:r>
    </w:p>
    <w:p>
      <w:pPr>
        <w:numPr>
          <w:ilvl w:val="0"/>
          <w:numId w:val="1008"/>
        </w:numPr>
        <w:pStyle w:val="Compact"/>
      </w:pPr>
      <w:r>
        <w:t xml:space="preserve">Section 6 (EU Infrastructure table):</w:t>
      </w:r>
      <w:r>
        <w:t xml:space="preserve"> </w:t>
      </w:r>
      <w:r>
        <w:t xml:space="preserve">“</w:t>
      </w:r>
      <w:r>
        <w:t xml:space="preserve">GitLab CI (EU-hosted)</w:t>
      </w:r>
      <w:r>
        <w:t xml:space="preserve">”</w:t>
      </w:r>
      <w:r>
        <w:t xml:space="preserve"> </w:t>
      </w:r>
      <w:r>
        <w:t xml:space="preserve">listed as a more sovereign alternative.</w:t>
      </w:r>
    </w:p>
    <w:p>
      <w:pPr>
        <w:numPr>
          <w:ilvl w:val="0"/>
          <w:numId w:val="1008"/>
        </w:numPr>
        <w:pStyle w:val="Compact"/>
      </w:pPr>
      <w:r>
        <w:t xml:space="preserve">Section 7 (ADR Index):</w:t>
      </w:r>
      <w:r>
        <w:t xml:space="preserve"> </w:t>
      </w:r>
      <w:r>
        <w:t xml:space="preserve">“</w:t>
      </w:r>
      <w:r>
        <w:t xml:space="preserve">GitHub Actions (code only, no data)</w:t>
      </w:r>
      <w:r>
        <w:t xml:space="preserve">”</w:t>
      </w:r>
      <w:r>
        <w:t xml:space="preserve"> </w:t>
      </w:r>
      <w:r>
        <w:t xml:space="preserve">listed as the current approach.</w:t>
      </w:r>
    </w:p>
    <w:p>
      <w:pPr>
        <w:pStyle w:val="FirstParagraph"/>
      </w:pPr>
      <w:r>
        <w:t xml:space="preserve">It is unclear whether</w:t>
      </w:r>
      <w:r>
        <w:t xml:space="preserve"> </w:t>
      </w:r>
      <w:r>
        <w:t xml:space="preserve">“</w:t>
      </w:r>
      <w:r>
        <w:t xml:space="preserve">Gitlab Actions</w:t>
      </w:r>
      <w:r>
        <w:t xml:space="preserve">”</w:t>
      </w:r>
      <w:r>
        <w:t xml:space="preserve"> </w:t>
      </w:r>
      <w:r>
        <w:t xml:space="preserve">is a typo for</w:t>
      </w:r>
      <w:r>
        <w:t xml:space="preserve"> </w:t>
      </w:r>
      <w:r>
        <w:t xml:space="preserve">“</w:t>
      </w:r>
      <w:r>
        <w:t xml:space="preserve">GitHub Actions</w:t>
      </w:r>
      <w:r>
        <w:t xml:space="preserve">”</w:t>
      </w:r>
      <w:r>
        <w:t xml:space="preserve"> </w:t>
      </w:r>
      <w:r>
        <w:t xml:space="preserve">or an intentional reference to GitLab CI/CD as a future migration target.</w:t>
      </w:r>
    </w:p>
    <w:p>
      <w:pPr>
        <w:pStyle w:val="BodyText"/>
        <w:spacing w:line="240" w:lineRule="auto" w:before="0" w:after="0"/>
      </w:pPr>
      <w:r>
        <w:rPr>
          <w:bCs/>
          <w:b/>
        </w:rPr>
        <w:t xml:space="preserve">Impact:</w:t>
      </w:r>
      <w:r>
        <w:t xml:space="preserve"> </w:t>
      </w:r>
      <w:r>
        <w:t xml:space="preserve">Confusion during DevOps setup. The team needs a single, clear CI/CD platform decision.</w:t>
      </w:r>
    </w:p>
    <w:p>
      <w:pPr>
        <w:pStyle w:val="BodyText"/>
        <w:spacing w:line="240" w:lineRule="auto" w:before="0" w:after="0"/>
      </w:pPr>
      <w:r>
        <w:rPr>
          <w:bCs/>
          <w:b/>
        </w:rPr>
        <w:t xml:space="preserve">Proposed Resolution:</w:t>
      </w:r>
      <w:r>
        <w:t xml:space="preserve"> </w:t>
      </w:r>
      <w:r>
        <w:t xml:space="preserve">Adopt</w:t>
      </w:r>
      <w:r>
        <w:t xml:space="preserve"> </w:t>
      </w:r>
      <w:r>
        <w:rPr>
          <w:bCs/>
          <w:b/>
        </w:rPr>
        <w:t xml:space="preserve">GitHub Actions</w:t>
      </w:r>
      <w:r>
        <w:t xml:space="preserve"> </w:t>
      </w:r>
      <w:r>
        <w:t xml:space="preserve">as the CI/CD platform for TRL 4.</w:t>
      </w:r>
    </w:p>
    <w:p>
      <w:pPr>
        <w:pStyle w:val="BodyText"/>
      </w:pPr>
      <w:r>
        <w:t xml:space="preserve">Rationale:</w:t>
      </w:r>
    </w:p>
    <w:p>
      <w:pPr>
        <w:numPr>
          <w:ilvl w:val="0"/>
          <w:numId w:val="1009"/>
        </w:numPr>
        <w:pStyle w:val="Compact"/>
      </w:pPr>
      <w:r>
        <w:t xml:space="preserve">The project already uses GitHub for code hosting.</w:t>
      </w:r>
    </w:p>
    <w:p>
      <w:pPr>
        <w:numPr>
          <w:ilvl w:val="0"/>
          <w:numId w:val="1009"/>
        </w:numPr>
        <w:pStyle w:val="Compact"/>
      </w:pPr>
      <w:r>
        <w:t xml:space="preserve">ADR-002’s constrained fallback permits US services for non-health workloads. CI/CD pipelines contain no patient data.</w:t>
      </w:r>
    </w:p>
    <w:p>
      <w:pPr>
        <w:numPr>
          <w:ilvl w:val="0"/>
          <w:numId w:val="1009"/>
        </w:numPr>
        <w:pStyle w:val="Compact"/>
      </w:pPr>
      <w:r>
        <w:t xml:space="preserve">Migrating to GitLab CI/CD for sovereignty reasons is overengineering for a demonstrator. If the project proceeds to TRL 5+, this can be revisited.</w:t>
      </w:r>
    </w:p>
    <w:p>
      <w:pPr>
        <w:pStyle w:val="FirstParagraph"/>
      </w:pPr>
      <w:r>
        <w:rPr>
          <w:bCs/>
          <w:b/>
        </w:rPr>
        <w:t xml:space="preserve">Action Required:</w:t>
      </w:r>
    </w:p>
    <w:p>
      <w:pPr>
        <w:numPr>
          <w:ilvl w:val="0"/>
          <w:numId w:val="1010"/>
        </w:numPr>
        <w:pStyle w:val="Compact"/>
      </w:pPr>
      <w:r>
        <w:t xml:space="preserve">Correct</w:t>
      </w:r>
      <w:r>
        <w:t xml:space="preserve"> </w:t>
      </w:r>
      <w:r>
        <w:t xml:space="preserve">“</w:t>
      </w:r>
      <w:r>
        <w:t xml:space="preserve">Gitlab Actions</w:t>
      </w:r>
      <w:r>
        <w:t xml:space="preserve">”</w:t>
      </w:r>
      <w:r>
        <w:t xml:space="preserve"> </w:t>
      </w:r>
      <w:r>
        <w:t xml:space="preserve">to</w:t>
      </w:r>
      <w:r>
        <w:t xml:space="preserve"> </w:t>
      </w:r>
      <w:r>
        <w:t xml:space="preserve">“</w:t>
      </w:r>
      <w:r>
        <w:t xml:space="preserve">GitHub Actions</w:t>
      </w:r>
      <w:r>
        <w:t xml:space="preserve">”</w:t>
      </w:r>
      <w:r>
        <w:t xml:space="preserve"> </w:t>
      </w:r>
      <w:r>
        <w:t xml:space="preserve">in Section 3 of the Tech Stack document.</w:t>
      </w:r>
    </w:p>
    <w:p>
      <w:pPr>
        <w:numPr>
          <w:ilvl w:val="0"/>
          <w:numId w:val="1010"/>
        </w:numPr>
        <w:pStyle w:val="Compact"/>
      </w:pPr>
      <w:r>
        <w:t xml:space="preserve">Clarify in Section 6 that GitLab CI is a noted EU-native alternative but is not selected for TRL 4.</w:t>
      </w:r>
    </w:p>
    <w:p>
      <w:pPr>
        <w:numPr>
          <w:ilvl w:val="0"/>
          <w:numId w:val="1010"/>
        </w:numPr>
        <w:pStyle w:val="Compact"/>
      </w:pPr>
      <w:r>
        <w:t xml:space="preserve">Ensure all three references are consistent.</w:t>
      </w:r>
    </w:p>
    <w:p>
      <w:pPr>
        <w:pStyle w:val="FirstParagraph"/>
        <w:spacing w:line="240" w:lineRule="auto" w:before="0" w:after="0"/>
      </w:pPr>
      <w:r>
        <w:rPr>
          <w:bCs/>
          <w:b/>
        </w:rPr>
        <w:t xml:space="preserve">Owner:</w:t>
      </w:r>
      <w:r>
        <w:t xml:space="preserve"> </w:t>
      </w:r>
      <w:r>
        <w:t xml:space="preserve">Mario Bulić</w:t>
      </w:r>
    </w:p>
    <w:p>
      <w:pPr>
        <w:pStyle w:val="BodyText"/>
        <w:spacing w:line="240" w:lineRule="auto" w:before="0" w:after="0"/>
      </w:pPr>
      <w:r>
        <w:rPr>
          <w:bCs/>
          <w:b/>
        </w:rPr>
        <w:t xml:space="preserve">Deadline:</w:t>
      </w:r>
      <w:r>
        <w:t xml:space="preserve"> </w:t>
      </w:r>
      <w:r>
        <w:t xml:space="preserve">Before Q2 2026</w:t>
      </w:r>
    </w:p>
    <w:bookmarkEnd w:id="25"/>
    <w:bookmarkStart w:id="26" w:name="X7724c617fc8e895eb7a39e2fd737f1e61f9c1cb"/>
    <w:p>
      <w:pPr>
        <w:pStyle w:val="Heading3"/>
      </w:pPr>
      <w:r>
        <w:t xml:space="preserve">ISSUE-005: FHIR Server Selection (HAPI FHIR vs. TypeScript Module)</w:t>
      </w:r>
    </w:p>
    <w:p>
      <w:pPr>
        <w:pStyle w:val="FirstParagraph"/>
        <w:spacing w:line="240" w:lineRule="auto" w:before="0" w:after="0"/>
      </w:pPr>
      <w:r>
        <w:rPr>
          <w:bCs/>
          <w:b/>
        </w:rPr>
        <w:t xml:space="preserve">Severity:</w:t>
      </w:r>
      <w:r>
        <w:t xml:space="preserve"> </w:t>
      </w:r>
      <w:r>
        <w:t xml:space="preserve">Medium</w:t>
      </w:r>
    </w:p>
    <w:p>
      <w:pPr>
        <w:pStyle w:val="BodyText"/>
        <w:spacing w:line="240" w:lineRule="auto" w:before="0" w:after="0"/>
      </w:pPr>
      <w:r>
        <w:rPr>
          <w:bCs/>
          <w:b/>
        </w:rPr>
        <w:t xml:space="preserve">Affected Documents:</w:t>
      </w:r>
      <w:r>
        <w:t xml:space="preserve"> </w:t>
      </w:r>
      <w:r>
        <w:t xml:space="preserve">Tech Stack &amp; Decisions</w:t>
      </w:r>
    </w:p>
    <w:p>
      <w:pPr>
        <w:pStyle w:val="BodyText"/>
        <w:spacing w:line="240" w:lineRule="auto" w:before="0" w:after="0"/>
      </w:pPr>
      <w:r>
        <w:rPr>
          <w:bCs/>
          <w:b/>
        </w:rPr>
        <w:t xml:space="preserve">Category:</w:t>
      </w:r>
      <w:r>
        <w:t xml:space="preserve"> </w:t>
      </w:r>
      <w:r>
        <w:t xml:space="preserve">Open decision</w:t>
      </w:r>
    </w:p>
    <w:p>
      <w:pPr>
        <w:pStyle w:val="BodyText"/>
      </w:pPr>
      <w:r>
        <w:rPr>
          <w:bCs/>
          <w:b/>
        </w:rPr>
        <w:t xml:space="preserve">Description:</w:t>
      </w:r>
      <w:r>
        <w:t xml:space="preserve"> </w:t>
      </w:r>
      <w:r>
        <w:t xml:space="preserve">Section 9 lists FHIR server selection as an open question:</w:t>
      </w:r>
      <w:r>
        <w:t xml:space="preserve"> </w:t>
      </w:r>
      <w:r>
        <w:t xml:space="preserve">“</w:t>
      </w:r>
      <w:r>
        <w:t xml:space="preserve">HAPI FHIR (Java, mature) vs. custom TypeScript FHIR module. Decision pending WP5 platform API specifications.</w:t>
      </w:r>
      <w:r>
        <w:t xml:space="preserve">”</w:t>
      </w:r>
    </w:p>
    <w:p>
      <w:pPr>
        <w:pStyle w:val="BodyText"/>
      </w:pPr>
      <w:r>
        <w:t xml:space="preserve">This is a load-bearing decision. Introducing a Java service (HAPI FHIR) into an otherwise all-TypeScript stack contradicts the</w:t>
      </w:r>
      <w:r>
        <w:t xml:space="preserve"> </w:t>
      </w:r>
      <w:r>
        <w:t xml:space="preserve">“</w:t>
      </w:r>
      <w:r>
        <w:t xml:space="preserve">Unified TypeScript Stack</w:t>
      </w:r>
      <w:r>
        <w:t xml:space="preserve">”</w:t>
      </w:r>
      <w:r>
        <w:t xml:space="preserve"> </w:t>
      </w:r>
      <w:r>
        <w:t xml:space="preserve">design principle (Section 2). However, HAPI FHIR is the most mature open-source FHIR server available.</w:t>
      </w:r>
    </w:p>
    <w:p>
      <w:pPr>
        <w:pStyle w:val="BodyText"/>
      </w:pPr>
      <w:r>
        <w:rPr>
          <w:bCs/>
          <w:b/>
        </w:rPr>
        <w:t xml:space="preserve">Impact:</w:t>
      </w:r>
      <w:r>
        <w:t xml:space="preserve"> </w:t>
      </w:r>
      <w:r>
        <w:t xml:space="preserve">Delays in FHIR integration development if the decision is deferred too long. Potential architectural inconsistency if Java is introduced without justification.</w:t>
      </w:r>
    </w:p>
    <w:p>
      <w:pPr>
        <w:pStyle w:val="BodyText"/>
      </w:pPr>
      <w:r>
        <w:rPr>
          <w:bCs/>
          <w:b/>
        </w:rPr>
        <w:t xml:space="preserve">Proposed Resolution:</w:t>
      </w:r>
      <w:r>
        <w:t xml:space="preserve"> </w:t>
      </w:r>
      <w:r>
        <w:t xml:space="preserve">For TRL 4, implement a</w:t>
      </w:r>
      <w:r>
        <w:t xml:space="preserve"> </w:t>
      </w:r>
      <w:r>
        <w:rPr>
          <w:bCs/>
          <w:b/>
        </w:rPr>
        <w:t xml:space="preserve">lightweight TypeScript FHIR serialisation and validation layer</w:t>
      </w:r>
      <w:r>
        <w:t xml:space="preserve"> </w:t>
      </w:r>
      <w:r>
        <w:t xml:space="preserve">rather than deploying a full HAPI FHIR server.</w:t>
      </w:r>
    </w:p>
    <w:p>
      <w:pPr>
        <w:pStyle w:val="BodyText"/>
      </w:pPr>
      <w:r>
        <w:t xml:space="preserve">Rationale:</w:t>
      </w:r>
    </w:p>
    <w:p>
      <w:pPr>
        <w:numPr>
          <w:ilvl w:val="0"/>
          <w:numId w:val="1011"/>
        </w:numPr>
        <w:pStyle w:val="Compact"/>
      </w:pPr>
      <w:r>
        <w:rPr>
          <w:bCs/>
          <w:b/>
        </w:rPr>
        <w:t xml:space="preserve">OnkoBuddy is a FHIR producer, not a FHIR server.</w:t>
      </w:r>
      <w:r>
        <w:t xml:space="preserve"> </w:t>
      </w:r>
      <w:r>
        <w:t xml:space="preserve">The app maps internal data to FHIR resources and pushes them to the WP5 platform. It does not need to serve FHIR queries, manage resource versioning, or implement the full FHIR REST API.</w:t>
      </w:r>
    </w:p>
    <w:p>
      <w:pPr>
        <w:numPr>
          <w:ilvl w:val="0"/>
          <w:numId w:val="1011"/>
        </w:numPr>
        <w:pStyle w:val="Compact"/>
      </w:pPr>
      <w:r>
        <w:rPr>
          <w:bCs/>
          <w:b/>
        </w:rPr>
        <w:t xml:space="preserve">TypeScript ecosystem has adequate libraries.</w:t>
      </w:r>
      <w:r>
        <w:t xml:space="preserve"> </w:t>
      </w:r>
      <w:r>
        <w:t xml:space="preserve">Libraries such as</w:t>
      </w:r>
      <w:r>
        <w:t xml:space="preserve"> </w:t>
      </w:r>
      <w:r>
        <w:rPr>
          <w:rStyle w:val="VerbatimChar"/>
        </w:rPr>
        <w:t xml:space="preserve">@medplum/fhirtypes</w:t>
      </w:r>
      <w:r>
        <w:t xml:space="preserve"> </w:t>
      </w:r>
      <w:r>
        <w:t xml:space="preserve">provide TypeScript type definitions for FHIR R4 resources. Combined with Zod schemas for runtime validation, this covers the serialisation and validation needs.</w:t>
      </w:r>
    </w:p>
    <w:p>
      <w:pPr>
        <w:numPr>
          <w:ilvl w:val="0"/>
          <w:numId w:val="1011"/>
        </w:numPr>
        <w:pStyle w:val="Compact"/>
      </w:pPr>
      <w:r>
        <w:rPr>
          <w:bCs/>
          <w:b/>
        </w:rPr>
        <w:t xml:space="preserve">Stack consistency.</w:t>
      </w:r>
      <w:r>
        <w:t xml:space="preserve"> </w:t>
      </w:r>
      <w:r>
        <w:t xml:space="preserve">Avoiding Java eliminates a second runtime, a second build system, and a second deployment target.</w:t>
      </w:r>
    </w:p>
    <w:p>
      <w:pPr>
        <w:numPr>
          <w:ilvl w:val="0"/>
          <w:numId w:val="1011"/>
        </w:numPr>
        <w:pStyle w:val="Compact"/>
      </w:pPr>
      <w:r>
        <w:rPr>
          <w:bCs/>
          <w:b/>
        </w:rPr>
        <w:t xml:space="preserve">TRL 4 scope.</w:t>
      </w:r>
      <w:r>
        <w:t xml:space="preserve"> </w:t>
      </w:r>
      <w:r>
        <w:t xml:space="preserve">A demonstrator needs to prove that data can be correctly mapped to FHIR and transmitted. A full FHIR server is a TRL 5+ concern.</w:t>
      </w:r>
    </w:p>
    <w:p>
      <w:pPr>
        <w:pStyle w:val="FirstParagraph"/>
      </w:pPr>
      <w:r>
        <w:rPr>
          <w:bCs/>
          <w:b/>
        </w:rPr>
        <w:t xml:space="preserve">Caveat:</w:t>
      </w:r>
      <w:r>
        <w:t xml:space="preserve"> </w:t>
      </w:r>
      <w:r>
        <w:t xml:space="preserve">If the WP5 platform requires OnkoBuddy to expose a FHIR endpoint (not just push data), this resolution may need revision. This should be clarified with the WP5 platform team.</w:t>
      </w:r>
    </w:p>
    <w:p>
      <w:pPr>
        <w:pStyle w:val="BodyText"/>
      </w:pPr>
      <w:r>
        <w:rPr>
          <w:bCs/>
          <w:b/>
        </w:rPr>
        <w:t xml:space="preserve">Action Required:</w:t>
      </w:r>
    </w:p>
    <w:p>
      <w:pPr>
        <w:numPr>
          <w:ilvl w:val="0"/>
          <w:numId w:val="1012"/>
        </w:numPr>
        <w:pStyle w:val="Compact"/>
      </w:pPr>
      <w:r>
        <w:t xml:space="preserve">Confirm with WP5 whether OnkoBuddy needs to serve FHIR queries or only produce FHIR resources.</w:t>
      </w:r>
    </w:p>
    <w:p>
      <w:pPr>
        <w:numPr>
          <w:ilvl w:val="0"/>
          <w:numId w:val="1012"/>
        </w:numPr>
        <w:pStyle w:val="Compact"/>
      </w:pPr>
      <w:r>
        <w:t xml:space="preserve">If produce-only: document the decision to use a TypeScript FHIR layer, close the open question in Section 9.</w:t>
      </w:r>
    </w:p>
    <w:p>
      <w:pPr>
        <w:numPr>
          <w:ilvl w:val="0"/>
          <w:numId w:val="1012"/>
        </w:numPr>
        <w:pStyle w:val="Compact"/>
      </w:pPr>
      <w:r>
        <w:t xml:space="preserve">If serve-queries: evaluate HAPI FHIR deployment and document the TypeScript-stack exception.</w:t>
      </w:r>
    </w:p>
    <w:p>
      <w:pPr>
        <w:pStyle w:val="FirstParagraph"/>
        <w:spacing w:line="240" w:lineRule="auto" w:before="0" w:after="0"/>
      </w:pPr>
      <w:r>
        <w:rPr>
          <w:bCs/>
          <w:b/>
        </w:rPr>
        <w:t xml:space="preserve">Owner:</w:t>
      </w:r>
      <w:r>
        <w:t xml:space="preserve"> </w:t>
      </w:r>
      <w:r>
        <w:t xml:space="preserve">Mario Bulić + WP5 Platform Team</w:t>
      </w:r>
    </w:p>
    <w:p>
      <w:pPr>
        <w:pStyle w:val="BodyText"/>
        <w:spacing w:line="240" w:lineRule="auto" w:before="0" w:after="0"/>
      </w:pPr>
      <w:r>
        <w:rPr>
          <w:bCs/>
          <w:b/>
        </w:rPr>
        <w:t xml:space="preserve">Deadline:</w:t>
      </w:r>
      <w:r>
        <w:t xml:space="preserve"> </w:t>
      </w:r>
      <w:r>
        <w:t xml:space="preserve">Before Q2 2026</w:t>
      </w:r>
    </w:p>
    <w:bookmarkEnd w:id="26"/>
    <w:bookmarkStart w:id="27" w:name="Xed8947e6f8264fd7e994eb2ed69ed61dd81a667"/>
    <w:p>
      <w:pPr>
        <w:pStyle w:val="Heading3"/>
      </w:pPr>
      <w:r>
        <w:t xml:space="preserve">ISSUE-006: Local Storage Selection (WatermelonDB vs. MMKV)</w:t>
      </w:r>
    </w:p>
    <w:p>
      <w:pPr>
        <w:pStyle w:val="FirstParagraph"/>
        <w:spacing w:line="240" w:lineRule="auto" w:before="0" w:after="0"/>
      </w:pPr>
      <w:r>
        <w:rPr>
          <w:bCs/>
          <w:b/>
        </w:rPr>
        <w:t xml:space="preserve">Severity:</w:t>
      </w:r>
      <w:r>
        <w:t xml:space="preserve"> </w:t>
      </w:r>
      <w:r>
        <w:t xml:space="preserve">Medium</w:t>
      </w:r>
    </w:p>
    <w:p>
      <w:pPr>
        <w:pStyle w:val="BodyText"/>
        <w:spacing w:line="240" w:lineRule="auto" w:before="0" w:after="0"/>
      </w:pPr>
      <w:r>
        <w:rPr>
          <w:bCs/>
          <w:b/>
        </w:rPr>
        <w:t xml:space="preserve">Affected Documents:</w:t>
      </w:r>
      <w:r>
        <w:t xml:space="preserve"> </w:t>
      </w:r>
      <w:r>
        <w:t xml:space="preserve">Tech Stack &amp; Decisions</w:t>
      </w:r>
    </w:p>
    <w:p>
      <w:pPr>
        <w:pStyle w:val="BodyText"/>
        <w:spacing w:line="240" w:lineRule="auto" w:before="0" w:after="0"/>
      </w:pPr>
      <w:r>
        <w:rPr>
          <w:bCs/>
          <w:b/>
        </w:rPr>
        <w:t xml:space="preserve">Category:</w:t>
      </w:r>
      <w:r>
        <w:t xml:space="preserve"> </w:t>
      </w:r>
      <w:r>
        <w:t xml:space="preserve">Open decision</w:t>
      </w:r>
    </w:p>
    <w:p>
      <w:pPr>
        <w:pStyle w:val="BodyText"/>
      </w:pPr>
      <w:r>
        <w:rPr>
          <w:bCs/>
          <w:b/>
        </w:rPr>
        <w:t xml:space="preserve">Description:</w:t>
      </w:r>
      <w:r>
        <w:t xml:space="preserve"> </w:t>
      </w:r>
      <w:r>
        <w:t xml:space="preserve">Section 9 lists this as an open question requiring benchmarking. However, Section 3 already lists</w:t>
      </w:r>
      <w:r>
        <w:t xml:space="preserve"> </w:t>
      </w:r>
      <w:r>
        <w:t xml:space="preserve">“</w:t>
      </w:r>
      <w:r>
        <w:t xml:space="preserve">WatermelonDB or MMKV</w:t>
      </w:r>
      <w:r>
        <w:t xml:space="preserve">”</w:t>
      </w:r>
      <w:r>
        <w:t xml:space="preserve"> </w:t>
      </w:r>
      <w:r>
        <w:t xml:space="preserve">as the selected technology, which is not a decision — it is a deferred choice.</w:t>
      </w:r>
    </w:p>
    <w:p>
      <w:pPr>
        <w:pStyle w:val="BodyText"/>
      </w:pPr>
      <w:r>
        <w:t xml:space="preserve">These are architecturally different tools:</w:t>
      </w:r>
    </w:p>
    <w:p>
      <w:pPr>
        <w:numPr>
          <w:ilvl w:val="0"/>
          <w:numId w:val="1013"/>
        </w:numPr>
        <w:pStyle w:val="Compact"/>
      </w:pPr>
      <w:r>
        <w:rPr>
          <w:bCs/>
          <w:b/>
        </w:rPr>
        <w:t xml:space="preserve">WatermelonDB:</w:t>
      </w:r>
      <w:r>
        <w:t xml:space="preserve"> </w:t>
      </w:r>
      <w:r>
        <w:t xml:space="preserve">SQLite-based, relational, built-in sync engine, designed for large datasets with complex queries. Purpose-built for offline-first React Native apps.</w:t>
      </w:r>
    </w:p>
    <w:p>
      <w:pPr>
        <w:numPr>
          <w:ilvl w:val="0"/>
          <w:numId w:val="1013"/>
        </w:numPr>
        <w:pStyle w:val="Compact"/>
      </w:pPr>
      <w:r>
        <w:rPr>
          <w:bCs/>
          <w:b/>
        </w:rPr>
        <w:t xml:space="preserve">MMKV:</w:t>
      </w:r>
      <w:r>
        <w:t xml:space="preserve"> </w:t>
      </w:r>
      <w:r>
        <w:t xml:space="preserve">Key-value store, extremely fast, designed for preferences and small data. No relational queries, no built-in sync.</w:t>
      </w:r>
    </w:p>
    <w:p>
      <w:pPr>
        <w:pStyle w:val="FirstParagraph"/>
      </w:pPr>
      <w:r>
        <w:t xml:space="preserve">OnkoBuddy tracks 43 symptom parameters, medications, quality-of-life surveys, diary entries, and gamification state. This is relational data with cross-entity queries (e.g.,</w:t>
      </w:r>
      <w:r>
        <w:t xml:space="preserve"> </w:t>
      </w:r>
      <w:r>
        <w:t xml:space="preserve">“</w:t>
      </w:r>
      <w:r>
        <w:t xml:space="preserve">show symptoms correlated with medication changes over time</w:t>
      </w:r>
      <w:r>
        <w:t xml:space="preserve">”</w:t>
      </w:r>
      <w:r>
        <w:t xml:space="preserve">).</w:t>
      </w:r>
    </w:p>
    <w:p>
      <w:pPr>
        <w:pStyle w:val="BodyText"/>
      </w:pPr>
      <w:r>
        <w:rPr>
          <w:bCs/>
          <w:b/>
        </w:rPr>
        <w:t xml:space="preserve">Proposed Resolution:</w:t>
      </w:r>
      <w:r>
        <w:t xml:space="preserve"> </w:t>
      </w:r>
      <w:r>
        <w:t xml:space="preserve">Select</w:t>
      </w:r>
      <w:r>
        <w:t xml:space="preserve"> </w:t>
      </w:r>
      <w:r>
        <w:rPr>
          <w:bCs/>
          <w:b/>
        </w:rPr>
        <w:t xml:space="preserve">WatermelonDB</w:t>
      </w:r>
      <w:r>
        <w:t xml:space="preserve"> </w:t>
      </w:r>
      <w:r>
        <w:t xml:space="preserve">as the primary local database. Use MMKV only for non-relational preferences (user settings, UI state, feature flags).</w:t>
      </w:r>
    </w:p>
    <w:p>
      <w:pPr>
        <w:pStyle w:val="BodyText"/>
      </w:pPr>
      <w:r>
        <w:t xml:space="preserve">Rationale:</w:t>
      </w:r>
    </w:p>
    <w:p>
      <w:pPr>
        <w:numPr>
          <w:ilvl w:val="0"/>
          <w:numId w:val="1014"/>
        </w:numPr>
        <w:pStyle w:val="Compact"/>
      </w:pPr>
      <w:r>
        <w:rPr>
          <w:bCs/>
          <w:b/>
        </w:rPr>
        <w:t xml:space="preserve">Data model fit.</w:t>
      </w:r>
      <w:r>
        <w:t xml:space="preserve"> </w:t>
      </w:r>
      <w:r>
        <w:t xml:space="preserve">43 symptom parameters, medication records, survey responses, and diary entries are inherently relational. WatermelonDB’s SQLite foundation handles this naturally.</w:t>
      </w:r>
    </w:p>
    <w:p>
      <w:pPr>
        <w:numPr>
          <w:ilvl w:val="0"/>
          <w:numId w:val="1014"/>
        </w:numPr>
        <w:pStyle w:val="Compact"/>
      </w:pPr>
      <w:r>
        <w:rPr>
          <w:bCs/>
          <w:b/>
        </w:rPr>
        <w:t xml:space="preserve">Offline-first sync.</w:t>
      </w:r>
      <w:r>
        <w:t xml:space="preserve"> </w:t>
      </w:r>
      <w:r>
        <w:t xml:space="preserve">WatermelonDB includes a sync adapter that pairs well with backend sync endpoints. This reduces custom sync logic.</w:t>
      </w:r>
    </w:p>
    <w:p>
      <w:pPr>
        <w:numPr>
          <w:ilvl w:val="0"/>
          <w:numId w:val="1014"/>
        </w:numPr>
        <w:pStyle w:val="Compact"/>
      </w:pPr>
      <w:r>
        <w:rPr>
          <w:bCs/>
          <w:b/>
        </w:rPr>
        <w:t xml:space="preserve">Query performance.</w:t>
      </w:r>
      <w:r>
        <w:t xml:space="preserve"> </w:t>
      </w:r>
      <w:r>
        <w:t xml:space="preserve">WatermelonDB lazy-loads records and supports complex queries without loading entire datasets into memory — critical for patient timeline views.</w:t>
      </w:r>
    </w:p>
    <w:p>
      <w:pPr>
        <w:numPr>
          <w:ilvl w:val="0"/>
          <w:numId w:val="1014"/>
        </w:numPr>
        <w:pStyle w:val="Compact"/>
      </w:pPr>
      <w:r>
        <w:rPr>
          <w:bCs/>
          <w:b/>
        </w:rPr>
        <w:t xml:space="preserve">MMKV role.</w:t>
      </w:r>
      <w:r>
        <w:t xml:space="preserve"> </w:t>
      </w:r>
      <w:r>
        <w:t xml:space="preserve">MMKV is appropriate for fast key-value access (auth tokens, UI preferences, cached settings). It complements WatermelonDB rather than competing with it.</w:t>
      </w:r>
    </w:p>
    <w:p>
      <w:pPr>
        <w:pStyle w:val="FirstParagraph"/>
      </w:pPr>
      <w:r>
        <w:rPr>
          <w:bCs/>
          <w:b/>
        </w:rPr>
        <w:t xml:space="preserve">Action Required:</w:t>
      </w:r>
    </w:p>
    <w:p>
      <w:pPr>
        <w:numPr>
          <w:ilvl w:val="0"/>
          <w:numId w:val="1015"/>
        </w:numPr>
        <w:pStyle w:val="Compact"/>
      </w:pPr>
      <w:r>
        <w:t xml:space="preserve">Update Tech Stack document Section 3: replace</w:t>
      </w:r>
      <w:r>
        <w:t xml:space="preserve"> </w:t>
      </w:r>
      <w:r>
        <w:t xml:space="preserve">“</w:t>
      </w:r>
      <w:r>
        <w:t xml:space="preserve">WatermelonDB or MMKV</w:t>
      </w:r>
      <w:r>
        <w:t xml:space="preserve">”</w:t>
      </w:r>
      <w:r>
        <w:t xml:space="preserve"> </w:t>
      </w:r>
      <w:r>
        <w:t xml:space="preserve">with</w:t>
      </w:r>
      <w:r>
        <w:t xml:space="preserve"> </w:t>
      </w:r>
      <w:r>
        <w:t xml:space="preserve">“</w:t>
      </w:r>
      <w:r>
        <w:t xml:space="preserve">WatermelonDB (primary local database) + MMKV (preferences and key-value cache).</w:t>
      </w:r>
      <w:r>
        <w:t xml:space="preserve">”</w:t>
      </w:r>
    </w:p>
    <w:p>
      <w:pPr>
        <w:numPr>
          <w:ilvl w:val="0"/>
          <w:numId w:val="1015"/>
        </w:numPr>
        <w:pStyle w:val="Compact"/>
      </w:pPr>
      <w:r>
        <w:t xml:space="preserve">Remove this item from Section 9 open questions.</w:t>
      </w:r>
    </w:p>
    <w:p>
      <w:pPr>
        <w:pStyle w:val="FirstParagraph"/>
        <w:spacing w:line="240" w:lineRule="auto" w:before="0" w:after="0"/>
      </w:pPr>
      <w:r>
        <w:rPr>
          <w:bCs/>
          <w:b/>
        </w:rPr>
        <w:t xml:space="preserve">Owner:</w:t>
      </w:r>
      <w:r>
        <w:t xml:space="preserve"> </w:t>
      </w:r>
      <w:r>
        <w:t xml:space="preserve">Mario Bulić</w:t>
      </w:r>
    </w:p>
    <w:p>
      <w:pPr>
        <w:pStyle w:val="BodyText"/>
        <w:spacing w:line="240" w:lineRule="auto" w:before="0" w:after="0"/>
      </w:pPr>
      <w:r>
        <w:rPr>
          <w:bCs/>
          <w:b/>
        </w:rPr>
        <w:t xml:space="preserve">Deadline:</w:t>
      </w:r>
      <w:r>
        <w:t xml:space="preserve"> </w:t>
      </w:r>
      <w:r>
        <w:t xml:space="preserve">Before Q2 2026</w:t>
      </w:r>
    </w:p>
    <w:bookmarkEnd w:id="27"/>
    <w:bookmarkStart w:id="28" w:name="Xadbeb9ae208b5d34cf749916281a7d1a9d9c89b"/>
    <w:p>
      <w:pPr>
        <w:pStyle w:val="Heading3"/>
      </w:pPr>
      <w:r>
        <w:t xml:space="preserve">ISSUE-007: Infrastructure-as-Code Scope (Terraform vs. Docker Compose)</w:t>
      </w:r>
    </w:p>
    <w:p>
      <w:pPr>
        <w:pStyle w:val="FirstParagraph"/>
        <w:spacing w:line="240" w:lineRule="auto" w:before="0" w:after="0"/>
      </w:pPr>
      <w:r>
        <w:rPr>
          <w:bCs/>
          <w:b/>
        </w:rPr>
        <w:t xml:space="preserve">Severity:</w:t>
      </w:r>
      <w:r>
        <w:t xml:space="preserve"> </w:t>
      </w:r>
      <w:r>
        <w:t xml:space="preserve">Low</w:t>
      </w:r>
    </w:p>
    <w:p>
      <w:pPr>
        <w:pStyle w:val="BodyText"/>
        <w:spacing w:line="240" w:lineRule="auto" w:before="0" w:after="0"/>
      </w:pPr>
      <w:r>
        <w:rPr>
          <w:bCs/>
          <w:b/>
        </w:rPr>
        <w:t xml:space="preserve">Affected Documents:</w:t>
      </w:r>
      <w:r>
        <w:t xml:space="preserve"> </w:t>
      </w:r>
      <w:r>
        <w:t xml:space="preserve">Tech Stack &amp; Decisions</w:t>
      </w:r>
    </w:p>
    <w:p>
      <w:pPr>
        <w:pStyle w:val="BodyText"/>
        <w:spacing w:line="240" w:lineRule="auto" w:before="0" w:after="0"/>
      </w:pPr>
      <w:r>
        <w:rPr>
          <w:bCs/>
          <w:b/>
        </w:rPr>
        <w:t xml:space="preserve">Category:</w:t>
      </w:r>
      <w:r>
        <w:t xml:space="preserve"> </w:t>
      </w:r>
      <w:r>
        <w:t xml:space="preserve">Open decision</w:t>
      </w:r>
    </w:p>
    <w:p>
      <w:pPr>
        <w:pStyle w:val="BodyText"/>
      </w:pPr>
      <w:r>
        <w:rPr>
          <w:bCs/>
          <w:b/>
        </w:rPr>
        <w:t xml:space="preserve">Description:</w:t>
      </w:r>
      <w:r>
        <w:t xml:space="preserve"> </w:t>
      </w:r>
      <w:r>
        <w:t xml:space="preserve">Section 9 correctly flags Terraform as potentially overengineered for TRL 4. The Tech Stack document lists</w:t>
      </w:r>
      <w:r>
        <w:t xml:space="preserve"> </w:t>
      </w:r>
      <w:r>
        <w:t xml:space="preserve">“</w:t>
      </w:r>
      <w:r>
        <w:t xml:space="preserve">Docker + Terraform</w:t>
      </w:r>
      <w:r>
        <w:t xml:space="preserve">”</w:t>
      </w:r>
      <w:r>
        <w:t xml:space="preserve"> </w:t>
      </w:r>
      <w:r>
        <w:t xml:space="preserve">in the DevOps layer without qualification.</w:t>
      </w:r>
    </w:p>
    <w:p>
      <w:pPr>
        <w:pStyle w:val="BodyText"/>
      </w:pPr>
      <w:r>
        <w:rPr>
          <w:bCs/>
          <w:b/>
        </w:rPr>
        <w:t xml:space="preserve">Proposed Resolution:</w:t>
      </w:r>
      <w:r>
        <w:t xml:space="preserve"> </w:t>
      </w:r>
      <w:r>
        <w:t xml:space="preserve">Adopt</w:t>
      </w:r>
      <w:r>
        <w:t xml:space="preserve"> </w:t>
      </w:r>
      <w:r>
        <w:rPr>
          <w:bCs/>
          <w:b/>
        </w:rPr>
        <w:t xml:space="preserve">Docker Compose</w:t>
      </w:r>
      <w:r>
        <w:t xml:space="preserve"> </w:t>
      </w:r>
      <w:r>
        <w:t xml:space="preserve">for TRL 4 deployment. Design container architecture so that Terraform can be layered on for TRL 5+ without restructuring.</w:t>
      </w:r>
    </w:p>
    <w:p>
      <w:pPr>
        <w:pStyle w:val="BodyText"/>
      </w:pPr>
      <w:r>
        <w:t xml:space="preserve">Rationale:</w:t>
      </w:r>
    </w:p>
    <w:p>
      <w:pPr>
        <w:numPr>
          <w:ilvl w:val="0"/>
          <w:numId w:val="1016"/>
        </w:numPr>
        <w:pStyle w:val="Compact"/>
      </w:pPr>
      <w:r>
        <w:rPr>
          <w:bCs/>
          <w:b/>
        </w:rPr>
        <w:t xml:space="preserve">TRL 4 Realism.</w:t>
      </w:r>
      <w:r>
        <w:t xml:space="preserve"> </w:t>
      </w:r>
      <w:r>
        <w:t xml:space="preserve">The demonstrator runs in a controlled environment (consortium testing, 17 participants). Docker Compose is sufficient and significantly simpler to operate.</w:t>
      </w:r>
    </w:p>
    <w:p>
      <w:pPr>
        <w:numPr>
          <w:ilvl w:val="0"/>
          <w:numId w:val="1016"/>
        </w:numPr>
        <w:pStyle w:val="Compact"/>
      </w:pPr>
      <w:r>
        <w:rPr>
          <w:bCs/>
          <w:b/>
        </w:rPr>
        <w:t xml:space="preserve">Operational capacity.</w:t>
      </w:r>
      <w:r>
        <w:t xml:space="preserve"> </w:t>
      </w:r>
      <w:r>
        <w:t xml:space="preserve">The team’s focus should be on app development, FHIR integration, and the mini-study — not on learning Terraform for a demonstrator.</w:t>
      </w:r>
    </w:p>
    <w:p>
      <w:pPr>
        <w:numPr>
          <w:ilvl w:val="0"/>
          <w:numId w:val="1016"/>
        </w:numPr>
        <w:pStyle w:val="Compact"/>
      </w:pPr>
      <w:r>
        <w:rPr>
          <w:bCs/>
          <w:b/>
        </w:rPr>
        <w:t xml:space="preserve">Forward compatibility.</w:t>
      </w:r>
      <w:r>
        <w:t xml:space="preserve"> </w:t>
      </w:r>
      <w:r>
        <w:t xml:space="preserve">Well-structured Dockerfiles and a Compose configuration can be targeted by Terraform modules later without rewriting container definitions.</w:t>
      </w:r>
    </w:p>
    <w:p>
      <w:pPr>
        <w:pStyle w:val="FirstParagraph"/>
      </w:pPr>
      <w:r>
        <w:rPr>
          <w:bCs/>
          <w:b/>
        </w:rPr>
        <w:t xml:space="preserve">Action Required:</w:t>
      </w:r>
    </w:p>
    <w:p>
      <w:pPr>
        <w:numPr>
          <w:ilvl w:val="0"/>
          <w:numId w:val="1017"/>
        </w:numPr>
        <w:pStyle w:val="Compact"/>
      </w:pPr>
      <w:r>
        <w:t xml:space="preserve">Update Tech Stack document Section 3 (DevOps layer): replace</w:t>
      </w:r>
      <w:r>
        <w:t xml:space="preserve"> </w:t>
      </w:r>
      <w:r>
        <w:t xml:space="preserve">“</w:t>
      </w:r>
      <w:r>
        <w:t xml:space="preserve">Docker + Terraform</w:t>
      </w:r>
      <w:r>
        <w:t xml:space="preserve">”</w:t>
      </w:r>
      <w:r>
        <w:t xml:space="preserve"> </w:t>
      </w:r>
      <w:r>
        <w:t xml:space="preserve">with</w:t>
      </w:r>
      <w:r>
        <w:t xml:space="preserve"> </w:t>
      </w:r>
      <w:r>
        <w:t xml:space="preserve">“</w:t>
      </w:r>
      <w:r>
        <w:t xml:space="preserve">Docker Compose (TRL 4); Terraform planned for TRL 5+.</w:t>
      </w:r>
      <w:r>
        <w:t xml:space="preserve">”</w:t>
      </w:r>
    </w:p>
    <w:p>
      <w:pPr>
        <w:numPr>
          <w:ilvl w:val="0"/>
          <w:numId w:val="1017"/>
        </w:numPr>
        <w:pStyle w:val="Compact"/>
      </w:pPr>
      <w:r>
        <w:t xml:space="preserve">Remove this item from Section 9 open questions.</w:t>
      </w:r>
    </w:p>
    <w:p>
      <w:pPr>
        <w:pStyle w:val="FirstParagraph"/>
        <w:spacing w:line="240" w:lineRule="auto" w:before="0" w:after="0"/>
      </w:pPr>
      <w:r>
        <w:rPr>
          <w:bCs/>
          <w:b/>
        </w:rPr>
        <w:t xml:space="preserve">Owner:</w:t>
      </w:r>
      <w:r>
        <w:t xml:space="preserve"> </w:t>
      </w:r>
      <w:r>
        <w:t xml:space="preserve">Mario Bulić</w:t>
      </w:r>
    </w:p>
    <w:p>
      <w:pPr>
        <w:pStyle w:val="BodyText"/>
        <w:spacing w:line="240" w:lineRule="auto" w:before="0" w:after="0"/>
      </w:pPr>
      <w:r>
        <w:rPr>
          <w:bCs/>
          <w:b/>
        </w:rPr>
        <w:t xml:space="preserve">Deadline:</w:t>
      </w:r>
      <w:r>
        <w:t xml:space="preserve"> </w:t>
      </w:r>
      <w:r>
        <w:t xml:space="preserve">Before Q2 2026</w:t>
      </w:r>
    </w:p>
    <w:bookmarkEnd w:id="28"/>
    <w:bookmarkStart w:id="29" w:name="issue-008-mini-study-timeline-buffer"/>
    <w:p>
      <w:pPr>
        <w:pStyle w:val="Heading3"/>
      </w:pPr>
      <w:r>
        <w:t xml:space="preserve">ISSUE-008: Mini-Study Timeline Buffer</w:t>
      </w:r>
    </w:p>
    <w:p>
      <w:pPr>
        <w:pStyle w:val="FirstParagraph"/>
        <w:spacing w:line="240" w:lineRule="auto" w:before="0" w:after="0"/>
      </w:pPr>
      <w:r>
        <w:rPr>
          <w:bCs/>
          <w:b/>
        </w:rPr>
        <w:t xml:space="preserve">Severity:</w:t>
      </w:r>
      <w:r>
        <w:t xml:space="preserve"> </w:t>
      </w:r>
      <w:r>
        <w:t xml:space="preserve">Medium</w:t>
      </w:r>
    </w:p>
    <w:p>
      <w:pPr>
        <w:pStyle w:val="BodyText"/>
        <w:spacing w:line="240" w:lineRule="auto" w:before="0" w:after="0"/>
      </w:pPr>
      <w:r>
        <w:rPr>
          <w:bCs/>
          <w:b/>
        </w:rPr>
        <w:t xml:space="preserve">Affected Documents:</w:t>
      </w:r>
      <w:r>
        <w:t xml:space="preserve"> </w:t>
      </w:r>
      <w:r>
        <w:t xml:space="preserve">ADR-001</w:t>
      </w:r>
    </w:p>
    <w:p>
      <w:pPr>
        <w:pStyle w:val="BodyText"/>
        <w:spacing w:line="240" w:lineRule="auto" w:before="0" w:after="0"/>
      </w:pPr>
      <w:r>
        <w:rPr>
          <w:bCs/>
          <w:b/>
        </w:rPr>
        <w:t xml:space="preserve">Category:</w:t>
      </w:r>
      <w:r>
        <w:t xml:space="preserve"> </w:t>
      </w:r>
      <w:r>
        <w:t xml:space="preserve">Schedule risk</w:t>
      </w:r>
    </w:p>
    <w:p>
      <w:pPr>
        <w:pStyle w:val="BodyText"/>
      </w:pPr>
      <w:r>
        <w:rPr>
          <w:bCs/>
          <w:b/>
        </w:rPr>
        <w:t xml:space="preserve">Description:</w:t>
      </w:r>
      <w:r>
        <w:t xml:space="preserve"> </w:t>
      </w:r>
      <w:r>
        <w:t xml:space="preserve">ADR-001 Phase 3 (gamification and patient pathways) targets completion in Q3 2026. The consortium mini-study with 17 participants is scheduled for 31.08.2026. This leaves minimal buffer between feature completion and study readiness.</w:t>
      </w:r>
    </w:p>
    <w:p>
      <w:pPr>
        <w:pStyle w:val="BodyText"/>
      </w:pPr>
      <w:r>
        <w:t xml:space="preserve">Study preparation typically requires: test environment provisioning, participant onboarding materials, data collection protocols, consent workflows, and at minimum one full dry-run cycle.</w:t>
      </w:r>
    </w:p>
    <w:p>
      <w:pPr>
        <w:pStyle w:val="BodyText"/>
        <w:spacing w:line="240" w:lineRule="auto" w:before="0" w:after="0"/>
      </w:pPr>
      <w:r>
        <w:rPr>
          <w:bCs/>
          <w:b/>
        </w:rPr>
        <w:t xml:space="preserve">Impact:</w:t>
      </w:r>
      <w:r>
        <w:t xml:space="preserve"> </w:t>
      </w:r>
      <w:r>
        <w:t xml:space="preserve">If Phase 3 encounters any delay, the mini-study date slips, which cascades into WP4 final deliverables.</w:t>
      </w:r>
    </w:p>
    <w:p>
      <w:pPr>
        <w:pStyle w:val="BodyText"/>
        <w:spacing w:line="240" w:lineRule="auto" w:before="0" w:after="0"/>
      </w:pPr>
      <w:r>
        <w:rPr>
          <w:bCs/>
          <w:b/>
        </w:rPr>
        <w:t xml:space="preserve">Proposed Resolution:</w:t>
      </w:r>
      <w:r>
        <w:t xml:space="preserve"> </w:t>
      </w:r>
      <w:r>
        <w:t xml:space="preserve">Insert a 6-week stabilisation and study-prep phase between Phase 3 feature completion and the mini-study.</w:t>
      </w:r>
    </w:p>
    <w:p>
      <w:pPr>
        <w:pStyle w:val="BodyText"/>
      </w:pPr>
      <w:r>
        <w:t xml:space="preserve">Revised timeline proposal:</w:t>
      </w:r>
    </w:p>
    <w:p>
      <w:pPr>
        <w:numPr>
          <w:ilvl w:val="0"/>
          <w:numId w:val="1018"/>
        </w:numPr>
        <w:pStyle w:val="Compact"/>
      </w:pPr>
      <w:r>
        <w:t xml:space="preserve">Phase 3 feature-complete target:</w:t>
      </w:r>
      <w:r>
        <w:t xml:space="preserve"> </w:t>
      </w:r>
      <w:r>
        <w:rPr>
          <w:bCs/>
          <w:b/>
        </w:rPr>
        <w:t xml:space="preserve">30 June 2026</w:t>
      </w:r>
      <w:r>
        <w:t xml:space="preserve"> </w:t>
      </w:r>
      <w:r>
        <w:t xml:space="preserve">(no change)</w:t>
      </w:r>
    </w:p>
    <w:p>
      <w:pPr>
        <w:numPr>
          <w:ilvl w:val="0"/>
          <w:numId w:val="1018"/>
        </w:numPr>
        <w:pStyle w:val="Compact"/>
      </w:pPr>
      <w:r>
        <w:t xml:space="preserve">Study preparation and stabilisation:</w:t>
      </w:r>
      <w:r>
        <w:t xml:space="preserve"> </w:t>
      </w:r>
      <w:r>
        <w:rPr>
          <w:bCs/>
          <w:b/>
        </w:rPr>
        <w:t xml:space="preserve">July 2026</w:t>
      </w:r>
    </w:p>
    <w:p>
      <w:pPr>
        <w:numPr>
          <w:ilvl w:val="0"/>
          <w:numId w:val="1018"/>
        </w:numPr>
        <w:pStyle w:val="Compact"/>
      </w:pPr>
      <w:r>
        <w:t xml:space="preserve">Mini-study execution:</w:t>
      </w:r>
      <w:r>
        <w:t xml:space="preserve"> </w:t>
      </w:r>
      <w:r>
        <w:rPr>
          <w:bCs/>
          <w:b/>
        </w:rPr>
        <w:t xml:space="preserve">August 2026</w:t>
      </w:r>
      <w:r>
        <w:t xml:space="preserve"> </w:t>
      </w:r>
      <w:r>
        <w:t xml:space="preserve">(no change, but now with buffer)</w:t>
      </w:r>
    </w:p>
    <w:p>
      <w:pPr>
        <w:pStyle w:val="FirstParagraph"/>
      </w:pPr>
      <w:r>
        <w:t xml:space="preserve">This means Phase 3 must genuinely complete by end of June, not drift into July. If Phase 3 scope is at risk, descope gamification polish (animations, visual effects) before descoping patient safety features (sync status, escalation button).</w:t>
      </w:r>
    </w:p>
    <w:p>
      <w:pPr>
        <w:pStyle w:val="BodyText"/>
      </w:pPr>
      <w:r>
        <w:rPr>
          <w:bCs/>
          <w:b/>
        </w:rPr>
        <w:t xml:space="preserve">Action Required:</w:t>
      </w:r>
    </w:p>
    <w:p>
      <w:pPr>
        <w:numPr>
          <w:ilvl w:val="0"/>
          <w:numId w:val="1019"/>
        </w:numPr>
        <w:pStyle w:val="Compact"/>
      </w:pPr>
      <w:r>
        <w:t xml:space="preserve">Add a</w:t>
      </w:r>
      <w:r>
        <w:t xml:space="preserve"> </w:t>
      </w:r>
      <w:r>
        <w:t xml:space="preserve">“</w:t>
      </w:r>
      <w:r>
        <w:t xml:space="preserve">Phase 3.5: Stabilisation &amp; Study Prep</w:t>
      </w:r>
      <w:r>
        <w:t xml:space="preserve">”</w:t>
      </w:r>
      <w:r>
        <w:t xml:space="preserve"> </w:t>
      </w:r>
      <w:r>
        <w:t xml:space="preserve">milestone to ADR-001 timeline.</w:t>
      </w:r>
    </w:p>
    <w:p>
      <w:pPr>
        <w:numPr>
          <w:ilvl w:val="0"/>
          <w:numId w:val="1019"/>
        </w:numPr>
        <w:pStyle w:val="Compact"/>
      </w:pPr>
      <w:r>
        <w:t xml:space="preserve">Define study-readiness criteria (checklist of what must work before participant onboarding).</w:t>
      </w:r>
    </w:p>
    <w:p>
      <w:pPr>
        <w:numPr>
          <w:ilvl w:val="0"/>
          <w:numId w:val="1019"/>
        </w:numPr>
        <w:pStyle w:val="Compact"/>
      </w:pPr>
      <w:r>
        <w:t xml:space="preserve">Identify descoping candidates within Phase 3 gamification.</w:t>
      </w:r>
    </w:p>
    <w:p>
      <w:pPr>
        <w:pStyle w:val="FirstParagraph"/>
        <w:spacing w:line="240" w:lineRule="auto" w:before="0" w:after="0"/>
      </w:pPr>
      <w:r>
        <w:rPr>
          <w:bCs/>
          <w:b/>
        </w:rPr>
        <w:t xml:space="preserve">Owner:</w:t>
      </w:r>
      <w:r>
        <w:t xml:space="preserve"> </w:t>
      </w:r>
      <w:r>
        <w:t xml:space="preserve">Mario Bulić + AIT (Klaus Donsa)</w:t>
      </w:r>
    </w:p>
    <w:p>
      <w:pPr>
        <w:pStyle w:val="BodyText"/>
        <w:spacing w:line="240" w:lineRule="auto" w:before="0" w:after="0"/>
      </w:pPr>
      <w:r>
        <w:rPr>
          <w:bCs/>
          <w:b/>
        </w:rPr>
        <w:t xml:space="preserve">Deadline:</w:t>
      </w:r>
      <w:r>
        <w:t xml:space="preserve"> </w:t>
      </w:r>
      <w:r>
        <w:t xml:space="preserve">Before Design Review (17.02.2026)</w:t>
      </w:r>
    </w:p>
    <w:bookmarkEnd w:id="29"/>
    <w:bookmarkStart w:id="30" w:name="X9b1eba0879c27e014c155810993a44c9e85f69b"/>
    <w:p>
      <w:pPr>
        <w:pStyle w:val="Heading3"/>
      </w:pPr>
      <w:r>
        <w:t xml:space="preserve">ISSUE-009: Missing API Contract Specification</w:t>
      </w:r>
    </w:p>
    <w:p>
      <w:pPr>
        <w:pStyle w:val="FirstParagraph"/>
        <w:spacing w:line="240" w:lineRule="auto" w:before="0" w:after="0"/>
      </w:pPr>
      <w:r>
        <w:rPr>
          <w:bCs/>
          <w:b/>
        </w:rPr>
        <w:t xml:space="preserve">Severity:</w:t>
      </w:r>
      <w:r>
        <w:t xml:space="preserve"> </w:t>
      </w:r>
      <w:r>
        <w:t xml:space="preserve">Medium</w:t>
      </w:r>
    </w:p>
    <w:p>
      <w:pPr>
        <w:pStyle w:val="BodyText"/>
        <w:spacing w:line="240" w:lineRule="auto" w:before="0" w:after="0"/>
      </w:pPr>
      <w:r>
        <w:rPr>
          <w:bCs/>
          <w:b/>
        </w:rPr>
        <w:t xml:space="preserve">Affected Documents:</w:t>
      </w:r>
      <w:r>
        <w:t xml:space="preserve"> </w:t>
      </w:r>
      <w:r>
        <w:t xml:space="preserve">Tech Stack &amp; Decisions</w:t>
      </w:r>
    </w:p>
    <w:p>
      <w:pPr>
        <w:pStyle w:val="BodyText"/>
        <w:spacing w:line="240" w:lineRule="auto" w:before="0" w:after="0"/>
      </w:pPr>
      <w:r>
        <w:rPr>
          <w:bCs/>
          <w:b/>
        </w:rPr>
        <w:t xml:space="preserve">Category:</w:t>
      </w:r>
      <w:r>
        <w:t xml:space="preserve"> </w:t>
      </w:r>
      <w:r>
        <w:t xml:space="preserve">Gap</w:t>
      </w:r>
    </w:p>
    <w:p>
      <w:pPr>
        <w:pStyle w:val="BodyText"/>
      </w:pPr>
      <w:r>
        <w:rPr>
          <w:bCs/>
          <w:b/>
        </w:rPr>
        <w:t xml:space="preserve">Description:</w:t>
      </w:r>
      <w:r>
        <w:t xml:space="preserve"> </w:t>
      </w:r>
      <w:r>
        <w:t xml:space="preserve">The Tech Stack document thoroughly covers the application stack but does not specify how APIs are contracted between services or with external partners. For a consortium project with multiple integration points (OnkoBuddy app, WP5 platform, admin dashboard), the API contract format matters.</w:t>
      </w:r>
    </w:p>
    <w:p>
      <w:pPr>
        <w:pStyle w:val="BodyText"/>
      </w:pPr>
      <w:r>
        <w:t xml:space="preserve">Options include: OpenAPI 3.x (REST), tRPC (TypeScript-native RPC), or GraphQL schema.</w:t>
      </w:r>
    </w:p>
    <w:p>
      <w:pPr>
        <w:pStyle w:val="BodyText"/>
      </w:pPr>
      <w:r>
        <w:rPr>
          <w:bCs/>
          <w:b/>
        </w:rPr>
        <w:t xml:space="preserve">Proposed Resolution:</w:t>
      </w:r>
      <w:r>
        <w:t xml:space="preserve"> </w:t>
      </w:r>
      <w:r>
        <w:t xml:space="preserve">Adopt</w:t>
      </w:r>
      <w:r>
        <w:t xml:space="preserve"> </w:t>
      </w:r>
      <w:r>
        <w:rPr>
          <w:bCs/>
          <w:b/>
        </w:rPr>
        <w:t xml:space="preserve">OpenAPI 3.1</w:t>
      </w:r>
      <w:r>
        <w:t xml:space="preserve"> </w:t>
      </w:r>
      <w:r>
        <w:t xml:space="preserve">as the API contract format for external interfaces (WP5 platform, partner integrations). For internal monorepo communication (app ↔ backend within the same TypeScript workspace),</w:t>
      </w:r>
      <w:r>
        <w:t xml:space="preserve"> </w:t>
      </w:r>
      <w:r>
        <w:rPr>
          <w:bCs/>
          <w:b/>
        </w:rPr>
        <w:t xml:space="preserve">tRPC</w:t>
      </w:r>
      <w:r>
        <w:t xml:space="preserve"> </w:t>
      </w:r>
      <w:r>
        <w:t xml:space="preserve">is a pragmatic choice that leverages the unified TypeScript stack.</w:t>
      </w:r>
    </w:p>
    <w:p>
      <w:pPr>
        <w:pStyle w:val="BodyText"/>
      </w:pPr>
      <w:r>
        <w:t xml:space="preserve">Rationale:</w:t>
      </w:r>
    </w:p>
    <w:p>
      <w:pPr>
        <w:numPr>
          <w:ilvl w:val="0"/>
          <w:numId w:val="1020"/>
        </w:numPr>
        <w:pStyle w:val="Compact"/>
      </w:pPr>
      <w:r>
        <w:rPr>
          <w:bCs/>
          <w:b/>
        </w:rPr>
        <w:t xml:space="preserve">External interfaces.</w:t>
      </w:r>
      <w:r>
        <w:t xml:space="preserve"> </w:t>
      </w:r>
      <w:r>
        <w:t xml:space="preserve">OpenAPI is the consortium-expected standard. WP5 and partner apps need language-agnostic API documentation. OpenAPI generates client SDKs, server stubs, and documentation automatically.</w:t>
      </w:r>
    </w:p>
    <w:p>
      <w:pPr>
        <w:numPr>
          <w:ilvl w:val="0"/>
          <w:numId w:val="1020"/>
        </w:numPr>
        <w:pStyle w:val="Compact"/>
      </w:pPr>
      <w:r>
        <w:rPr>
          <w:bCs/>
          <w:b/>
        </w:rPr>
        <w:t xml:space="preserve">Internal interfaces.</w:t>
      </w:r>
      <w:r>
        <w:t xml:space="preserve"> </w:t>
      </w:r>
      <w:r>
        <w:t xml:space="preserve">tRPC provides end-to-end type safety without code generation. Within the TypeScript monorepo, this eliminates the contract drift problem.</w:t>
      </w:r>
    </w:p>
    <w:p>
      <w:pPr>
        <w:numPr>
          <w:ilvl w:val="0"/>
          <w:numId w:val="1020"/>
        </w:numPr>
        <w:pStyle w:val="Compact"/>
      </w:pPr>
      <w:r>
        <w:rPr>
          <w:bCs/>
          <w:b/>
        </w:rPr>
        <w:t xml:space="preserve">FHIR endpoints.</w:t>
      </w:r>
      <w:r>
        <w:t xml:space="preserve"> </w:t>
      </w:r>
      <w:r>
        <w:t xml:space="preserve">FHIR already defines its own REST conventions. The FHIR data layer follows FHIR R4 REST patterns; OpenAPI documents the non-FHIR endpoints.</w:t>
      </w:r>
    </w:p>
    <w:p>
      <w:pPr>
        <w:pStyle w:val="FirstParagraph"/>
      </w:pPr>
      <w:r>
        <w:rPr>
          <w:bCs/>
          <w:b/>
        </w:rPr>
        <w:t xml:space="preserve">Action Required:</w:t>
      </w:r>
    </w:p>
    <w:p>
      <w:pPr>
        <w:numPr>
          <w:ilvl w:val="0"/>
          <w:numId w:val="1021"/>
        </w:numPr>
        <w:pStyle w:val="Compact"/>
      </w:pPr>
      <w:r>
        <w:t xml:space="preserve">Add API contract specification to Tech Stack document (new Section or addition to Section 3, Backend layer).</w:t>
      </w:r>
    </w:p>
    <w:p>
      <w:pPr>
        <w:numPr>
          <w:ilvl w:val="0"/>
          <w:numId w:val="1021"/>
        </w:numPr>
        <w:pStyle w:val="Compact"/>
      </w:pPr>
      <w:r>
        <w:t xml:space="preserve">Specify OpenAPI 3.1 for external APIs, tRPC for internal monorepo APIs, FHIR R4 REST for health data endpoints.</w:t>
      </w:r>
    </w:p>
    <w:p>
      <w:pPr>
        <w:pStyle w:val="FirstParagraph"/>
        <w:spacing w:line="240" w:lineRule="auto" w:before="0" w:after="0"/>
      </w:pPr>
      <w:r>
        <w:rPr>
          <w:bCs/>
          <w:b/>
        </w:rPr>
        <w:t xml:space="preserve">Owner:</w:t>
      </w:r>
      <w:r>
        <w:t xml:space="preserve"> </w:t>
      </w:r>
      <w:r>
        <w:t xml:space="preserve">Mario Bulić</w:t>
      </w:r>
    </w:p>
    <w:p>
      <w:pPr>
        <w:pStyle w:val="BodyText"/>
        <w:spacing w:line="240" w:lineRule="auto" w:before="0" w:after="0"/>
      </w:pPr>
      <w:r>
        <w:rPr>
          <w:bCs/>
          <w:b/>
        </w:rPr>
        <w:t xml:space="preserve">Deadline:</w:t>
      </w:r>
      <w:r>
        <w:t xml:space="preserve"> </w:t>
      </w:r>
      <w:r>
        <w:t xml:space="preserve">Before Q2 2026</w:t>
      </w:r>
    </w:p>
    <w:bookmarkEnd w:id="30"/>
    <w:bookmarkStart w:id="31" w:name="X210fbf5b03f71d982d807075478a32cca839106"/>
    <w:p>
      <w:pPr>
        <w:pStyle w:val="Heading3"/>
      </w:pPr>
      <w:r>
        <w:t xml:space="preserve">ISSUE-010: Missing Operational Responsibility Assignment</w:t>
      </w:r>
    </w:p>
    <w:p>
      <w:pPr>
        <w:pStyle w:val="FirstParagraph"/>
        <w:spacing w:line="240" w:lineRule="auto" w:before="0" w:after="0"/>
      </w:pPr>
      <w:r>
        <w:rPr>
          <w:bCs/>
          <w:b/>
        </w:rPr>
        <w:t xml:space="preserve">Severity:</w:t>
      </w:r>
      <w:r>
        <w:t xml:space="preserve"> </w:t>
      </w:r>
      <w:r>
        <w:t xml:space="preserve">Medium</w:t>
      </w:r>
    </w:p>
    <w:p>
      <w:pPr>
        <w:pStyle w:val="BodyText"/>
        <w:spacing w:line="240" w:lineRule="auto" w:before="0" w:after="0"/>
      </w:pPr>
      <w:r>
        <w:rPr>
          <w:bCs/>
          <w:b/>
        </w:rPr>
        <w:t xml:space="preserve">Affected Documents:</w:t>
      </w:r>
      <w:r>
        <w:t xml:space="preserve"> </w:t>
      </w:r>
      <w:r>
        <w:t xml:space="preserve">ADR-002, Tech Stack &amp; Decisions</w:t>
      </w:r>
    </w:p>
    <w:p>
      <w:pPr>
        <w:pStyle w:val="BodyText"/>
        <w:spacing w:line="240" w:lineRule="auto" w:before="0" w:after="0"/>
      </w:pPr>
      <w:r>
        <w:rPr>
          <w:bCs/>
          <w:b/>
        </w:rPr>
        <w:t xml:space="preserve">Category:</w:t>
      </w:r>
      <w:r>
        <w:t xml:space="preserve"> </w:t>
      </w:r>
      <w:r>
        <w:t xml:space="preserve">Gap</w:t>
      </w:r>
    </w:p>
    <w:p>
      <w:pPr>
        <w:pStyle w:val="BodyText"/>
      </w:pPr>
      <w:r>
        <w:rPr>
          <w:bCs/>
          <w:b/>
        </w:rPr>
        <w:t xml:space="preserve">Description:</w:t>
      </w:r>
      <w:r>
        <w:t xml:space="preserve"> </w:t>
      </w:r>
      <w:r>
        <w:t xml:space="preserve">The EU-first infrastructure policy requires self-hosting multiple services: Keycloak, MinIO, Redis, Grafana/Loki, ntfy.sh, and potentially WatermelonDB sync endpoints. Neither ADR-002 nor the Tech Stack document specifies who operates these services.</w:t>
      </w:r>
    </w:p>
    <w:p>
      <w:pPr>
        <w:pStyle w:val="BodyText"/>
      </w:pPr>
      <w:r>
        <w:t xml:space="preserve">For a consortium project, operational responsibility is not obvious — it could fall to the Know Center (backend partner), Kurvenkratzer (tech lead), or the WP5 platform team.</w:t>
      </w:r>
    </w:p>
    <w:p>
      <w:pPr>
        <w:pStyle w:val="BodyText"/>
      </w:pPr>
      <w:r>
        <w:rPr>
          <w:bCs/>
          <w:b/>
        </w:rPr>
        <w:t xml:space="preserve">Impact:</w:t>
      </w:r>
      <w:r>
        <w:t xml:space="preserve"> </w:t>
      </w:r>
      <w:r>
        <w:t xml:space="preserve">Without clear ownership, services may be deployed but not monitored, patched, or backed up. For health data infrastructure, this is a compliance concern.</w:t>
      </w:r>
    </w:p>
    <w:p>
      <w:pPr>
        <w:pStyle w:val="BodyText"/>
      </w:pPr>
      <w:r>
        <w:rPr>
          <w:bCs/>
          <w:b/>
        </w:rPr>
        <w:t xml:space="preserve">Proposed Resolution:</w:t>
      </w:r>
      <w:r>
        <w:t xml:space="preserve"> </w:t>
      </w:r>
      <w:r>
        <w:t xml:space="preserve">Add an operational responsibility matrix to the Tech Stack document or the System Architecture Overview. At minimum, assign each self-hosted service to a responsible party with defined SLA expectations appropriate for TRL 4 (e.g.,</w:t>
      </w:r>
      <w:r>
        <w:t xml:space="preserve"> </w:t>
      </w:r>
      <w:r>
        <w:t xml:space="preserve">“</w:t>
      </w:r>
      <w:r>
        <w:t xml:space="preserve">best-effort during business hours, 24h recovery target</w:t>
      </w:r>
      <w:r>
        <w:t xml:space="preserve">”</w:t>
      </w:r>
      <w:r>
        <w:t xml:space="preserve">).</w:t>
      </w:r>
    </w:p>
    <w:p>
      <w:pPr>
        <w:pStyle w:val="BodyText"/>
      </w:pPr>
      <w:r>
        <w:rPr>
          <w:bCs/>
          <w:b/>
        </w:rPr>
        <w:t xml:space="preserve">Action Required:</w:t>
      </w:r>
    </w:p>
    <w:p>
      <w:pPr>
        <w:numPr>
          <w:ilvl w:val="0"/>
          <w:numId w:val="1022"/>
        </w:numPr>
        <w:pStyle w:val="Compact"/>
      </w:pPr>
      <w:r>
        <w:t xml:space="preserve">Draft a lightweight RACI or responsibility table for self-hosted services.</w:t>
      </w:r>
    </w:p>
    <w:p>
      <w:pPr>
        <w:numPr>
          <w:ilvl w:val="0"/>
          <w:numId w:val="1022"/>
        </w:numPr>
        <w:pStyle w:val="Compact"/>
      </w:pPr>
      <w:r>
        <w:t xml:space="preserve">Include in Tech Stack document or System Architecture Overview.</w:t>
      </w:r>
    </w:p>
    <w:p>
      <w:pPr>
        <w:numPr>
          <w:ilvl w:val="0"/>
          <w:numId w:val="1022"/>
        </w:numPr>
        <w:pStyle w:val="Compact"/>
      </w:pPr>
      <w:r>
        <w:t xml:space="preserve">Discuss at Design Review.</w:t>
      </w:r>
    </w:p>
    <w:p>
      <w:pPr>
        <w:pStyle w:val="FirstParagraph"/>
        <w:spacing w:line="240" w:lineRule="auto" w:before="0" w:after="0"/>
      </w:pPr>
      <w:r>
        <w:rPr>
          <w:bCs/>
          <w:b/>
        </w:rPr>
        <w:t xml:space="preserve">Owner:</w:t>
      </w:r>
      <w:r>
        <w:t xml:space="preserve"> </w:t>
      </w:r>
      <w:r>
        <w:t xml:space="preserve">Mario Bulić</w:t>
      </w:r>
    </w:p>
    <w:p>
      <w:pPr>
        <w:pStyle w:val="BodyText"/>
        <w:spacing w:line="240" w:lineRule="auto" w:before="0" w:after="0"/>
      </w:pPr>
      <w:r>
        <w:rPr>
          <w:bCs/>
          <w:b/>
        </w:rPr>
        <w:t xml:space="preserve">Deadline:</w:t>
      </w:r>
      <w:r>
        <w:t xml:space="preserve"> </w:t>
      </w:r>
      <w:r>
        <w:t xml:space="preserve">Before Design Review (17.02.2026)</w:t>
      </w:r>
    </w:p>
    <w:bookmarkEnd w:id="31"/>
    <w:bookmarkEnd w:id="32"/>
    <w:bookmarkStart w:id="33" w:name="resolution-priority-matrix"/>
    <w:p>
      <w:pPr>
        <w:pStyle w:val="Heading2"/>
      </w:pPr>
      <w:r>
        <w:t xml:space="preserve">4. Resolution Priority Matrix</w:t>
      </w:r>
    </w:p>
    <w:tbl>
      <w:tblPr>
        <w:tblStyle w:val="Table"/>
        <w:tblW w:type="pct" w:w="5000"/>
        <w:tblLook w:firstRow="1" w:lastRow="0" w:firstColumn="0" w:lastColumn="0" w:noHBand="0" w:noVBand="0" w:val="0020"/>
        <w:jc w:val="start"/>
        <w:tblLayout w:type="autofit"/>
      </w:tblPr>
      <w:tblGrid>
        <w:gridCol w:w="1417"/>
        <w:gridCol w:w="2874"/>
        <w:gridCol w:w="1336"/>
        <w:gridCol w:w="1494"/>
        <w:gridCol w:w="1948"/>
      </w:tblGrid>
      <w:tr>
        <w:trPr>
          <w:tblHeader w:val="true"/>
        </w:trPr>
        <w:tc>
          <w:tcPr>
            <w:tcW w:w="1417" w:type="dxa"/>
          </w:tcPr>
          <w:p>
            <w:pPr>
              <w:pStyle w:val="Compact"/>
              <w:jc w:val="left"/>
            </w:pPr>
            <w:r>
              <w:t xml:space="preserve">ID</w:t>
            </w:r>
          </w:p>
        </w:tc>
        <w:tc>
          <w:tcPr>
            <w:tcW w:w="2874" w:type="dxa"/>
          </w:tcPr>
          <w:p>
            <w:pPr>
              <w:pStyle w:val="Compact"/>
              <w:jc w:val="left"/>
            </w:pPr>
            <w:r>
              <w:t xml:space="preserve">Issue</w:t>
            </w:r>
          </w:p>
        </w:tc>
        <w:tc>
          <w:tcPr>
            <w:tcW w:w="1336" w:type="dxa"/>
          </w:tcPr>
          <w:p>
            <w:pPr>
              <w:pStyle w:val="Compact"/>
              <w:jc w:val="left"/>
            </w:pPr>
            <w:r>
              <w:t xml:space="preserve">Severity</w:t>
            </w:r>
          </w:p>
        </w:tc>
        <w:tc>
          <w:tcPr>
            <w:tcW w:w="1494" w:type="dxa"/>
          </w:tcPr>
          <w:p>
            <w:pPr>
              <w:pStyle w:val="Compact"/>
              <w:jc w:val="left"/>
            </w:pPr>
            <w:r>
              <w:t xml:space="preserve">Deadline</w:t>
            </w:r>
          </w:p>
        </w:tc>
        <w:tc>
          <w:tcPr>
            <w:tcW w:w="1948" w:type="dxa"/>
          </w:tcPr>
          <w:p>
            <w:pPr>
              <w:pStyle w:val="Compact"/>
              <w:jc w:val="left"/>
            </w:pPr>
            <w:r>
              <w:t xml:space="preserve">Owner</w:t>
            </w:r>
          </w:p>
        </w:tc>
      </w:tr>
      <w:tr>
        <w:tc>
          <w:tcPr>
            <w:tcW w:w="1417" w:type="dxa"/>
          </w:tcPr>
          <w:p>
            <w:pPr>
              <w:pStyle w:val="Compact"/>
              <w:jc w:val="left"/>
            </w:pPr>
            <w:r>
              <w:t xml:space="preserve">ISSUE-001</w:t>
            </w:r>
          </w:p>
        </w:tc>
        <w:tc>
          <w:tcPr>
            <w:tcW w:w="2874" w:type="dxa"/>
          </w:tcPr>
          <w:p>
            <w:pPr>
              <w:pStyle w:val="Compact"/>
              <w:jc w:val="left"/>
            </w:pPr>
            <w:r>
              <w:t xml:space="preserve">State management contradiction</w:t>
            </w:r>
          </w:p>
        </w:tc>
        <w:tc>
          <w:tcPr>
            <w:tcW w:w="1336" w:type="dxa"/>
          </w:tcPr>
          <w:p>
            <w:pPr>
              <w:pStyle w:val="Compact"/>
              <w:jc w:val="left"/>
            </w:pPr>
            <w:r>
              <w:t xml:space="preserve">Critical</w:t>
            </w:r>
          </w:p>
        </w:tc>
        <w:tc>
          <w:tcPr>
            <w:tcW w:w="1494" w:type="dxa"/>
          </w:tcPr>
          <w:p>
            <w:pPr>
              <w:pStyle w:val="Compact"/>
              <w:jc w:val="left"/>
            </w:pPr>
            <w:r>
              <w:t xml:space="preserve">17.02.2026</w:t>
            </w:r>
          </w:p>
        </w:tc>
        <w:tc>
          <w:tcPr>
            <w:tcW w:w="1948" w:type="dxa"/>
          </w:tcPr>
          <w:p>
            <w:pPr>
              <w:pStyle w:val="Compact"/>
              <w:jc w:val="left"/>
            </w:pPr>
            <w:r>
              <w:t xml:space="preserve">Mario Bulić</w:t>
            </w:r>
          </w:p>
        </w:tc>
      </w:tr>
      <w:tr>
        <w:tc>
          <w:tcPr>
            <w:tcW w:w="1417" w:type="dxa"/>
          </w:tcPr>
          <w:p>
            <w:pPr>
              <w:pStyle w:val="Compact"/>
              <w:jc w:val="left"/>
            </w:pPr>
            <w:r>
              <w:t xml:space="preserve">ISSUE-002</w:t>
            </w:r>
          </w:p>
        </w:tc>
        <w:tc>
          <w:tcPr>
            <w:tcW w:w="2874" w:type="dxa"/>
          </w:tcPr>
          <w:p>
            <w:pPr>
              <w:pStyle w:val="Compact"/>
              <w:jc w:val="left"/>
            </w:pPr>
            <w:r>
              <w:t xml:space="preserve">Firebase push policy contradiction</w:t>
            </w:r>
          </w:p>
        </w:tc>
        <w:tc>
          <w:tcPr>
            <w:tcW w:w="1336" w:type="dxa"/>
          </w:tcPr>
          <w:p>
            <w:pPr>
              <w:pStyle w:val="Compact"/>
              <w:jc w:val="left"/>
            </w:pPr>
            <w:r>
              <w:t xml:space="preserve">High</w:t>
            </w:r>
          </w:p>
        </w:tc>
        <w:tc>
          <w:tcPr>
            <w:tcW w:w="1494" w:type="dxa"/>
          </w:tcPr>
          <w:p>
            <w:pPr>
              <w:pStyle w:val="Compact"/>
              <w:jc w:val="left"/>
            </w:pPr>
            <w:r>
              <w:t xml:space="preserve">17.02.2026</w:t>
            </w:r>
          </w:p>
        </w:tc>
        <w:tc>
          <w:tcPr>
            <w:tcW w:w="1948" w:type="dxa"/>
          </w:tcPr>
          <w:p>
            <w:pPr>
              <w:pStyle w:val="Compact"/>
              <w:jc w:val="left"/>
            </w:pPr>
            <w:r>
              <w:t xml:space="preserve">Mario Bulić + WP5</w:t>
            </w:r>
          </w:p>
        </w:tc>
      </w:tr>
      <w:tr>
        <w:tc>
          <w:tcPr>
            <w:tcW w:w="1417" w:type="dxa"/>
          </w:tcPr>
          <w:p>
            <w:pPr>
              <w:pStyle w:val="Compact"/>
              <w:jc w:val="left"/>
            </w:pPr>
            <w:r>
              <w:t xml:space="preserve">ISSUE-003</w:t>
            </w:r>
          </w:p>
        </w:tc>
        <w:tc>
          <w:tcPr>
            <w:tcW w:w="2874" w:type="dxa"/>
          </w:tcPr>
          <w:p>
            <w:pPr>
              <w:pStyle w:val="Compact"/>
              <w:jc w:val="left"/>
            </w:pPr>
            <w:r>
              <w:t xml:space="preserve">ADR-002 status dependency inversion</w:t>
            </w:r>
          </w:p>
        </w:tc>
        <w:tc>
          <w:tcPr>
            <w:tcW w:w="1336" w:type="dxa"/>
          </w:tcPr>
          <w:p>
            <w:pPr>
              <w:pStyle w:val="Compact"/>
              <w:jc w:val="left"/>
            </w:pPr>
            <w:r>
              <w:t xml:space="preserve">High</w:t>
            </w:r>
          </w:p>
        </w:tc>
        <w:tc>
          <w:tcPr>
            <w:tcW w:w="1494" w:type="dxa"/>
          </w:tcPr>
          <w:p>
            <w:pPr>
              <w:pStyle w:val="Compact"/>
              <w:jc w:val="left"/>
            </w:pPr>
            <w:r>
              <w:t xml:space="preserve">17.02.2026</w:t>
            </w:r>
          </w:p>
        </w:tc>
        <w:tc>
          <w:tcPr>
            <w:tcW w:w="1948" w:type="dxa"/>
          </w:tcPr>
          <w:p>
            <w:pPr>
              <w:pStyle w:val="Compact"/>
              <w:jc w:val="left"/>
            </w:pPr>
            <w:r>
              <w:t xml:space="preserve">Mario Bulić</w:t>
            </w:r>
          </w:p>
        </w:tc>
      </w:tr>
      <w:tr>
        <w:tc>
          <w:tcPr>
            <w:tcW w:w="1417" w:type="dxa"/>
          </w:tcPr>
          <w:p>
            <w:pPr>
              <w:pStyle w:val="Compact"/>
              <w:jc w:val="left"/>
            </w:pPr>
            <w:r>
              <w:t xml:space="preserve">ISSUE-008</w:t>
            </w:r>
          </w:p>
        </w:tc>
        <w:tc>
          <w:tcPr>
            <w:tcW w:w="2874" w:type="dxa"/>
          </w:tcPr>
          <w:p>
            <w:pPr>
              <w:pStyle w:val="Compact"/>
              <w:jc w:val="left"/>
            </w:pPr>
            <w:r>
              <w:t xml:space="preserve">Mini-study timeline buffer</w:t>
            </w:r>
          </w:p>
        </w:tc>
        <w:tc>
          <w:tcPr>
            <w:tcW w:w="1336" w:type="dxa"/>
          </w:tcPr>
          <w:p>
            <w:pPr>
              <w:pStyle w:val="Compact"/>
              <w:jc w:val="left"/>
            </w:pPr>
            <w:r>
              <w:t xml:space="preserve">Medium</w:t>
            </w:r>
          </w:p>
        </w:tc>
        <w:tc>
          <w:tcPr>
            <w:tcW w:w="1494" w:type="dxa"/>
          </w:tcPr>
          <w:p>
            <w:pPr>
              <w:pStyle w:val="Compact"/>
              <w:jc w:val="left"/>
            </w:pPr>
            <w:r>
              <w:t xml:space="preserve">17.02.2026</w:t>
            </w:r>
          </w:p>
        </w:tc>
        <w:tc>
          <w:tcPr>
            <w:tcW w:w="1948" w:type="dxa"/>
          </w:tcPr>
          <w:p>
            <w:pPr>
              <w:pStyle w:val="Compact"/>
              <w:jc w:val="left"/>
            </w:pPr>
            <w:r>
              <w:t xml:space="preserve">Mario Bulić + AIT</w:t>
            </w:r>
          </w:p>
        </w:tc>
      </w:tr>
      <w:tr>
        <w:tc>
          <w:tcPr>
            <w:tcW w:w="1417" w:type="dxa"/>
          </w:tcPr>
          <w:p>
            <w:pPr>
              <w:pStyle w:val="Compact"/>
              <w:jc w:val="left"/>
            </w:pPr>
            <w:r>
              <w:t xml:space="preserve">ISSUE-010</w:t>
            </w:r>
          </w:p>
        </w:tc>
        <w:tc>
          <w:tcPr>
            <w:tcW w:w="2874" w:type="dxa"/>
          </w:tcPr>
          <w:p>
            <w:pPr>
              <w:pStyle w:val="Compact"/>
              <w:jc w:val="left"/>
            </w:pPr>
            <w:r>
              <w:t xml:space="preserve">Operational responsibility assignment</w:t>
            </w:r>
          </w:p>
        </w:tc>
        <w:tc>
          <w:tcPr>
            <w:tcW w:w="1336" w:type="dxa"/>
          </w:tcPr>
          <w:p>
            <w:pPr>
              <w:pStyle w:val="Compact"/>
              <w:jc w:val="left"/>
            </w:pPr>
            <w:r>
              <w:t xml:space="preserve">Medium</w:t>
            </w:r>
          </w:p>
        </w:tc>
        <w:tc>
          <w:tcPr>
            <w:tcW w:w="1494" w:type="dxa"/>
          </w:tcPr>
          <w:p>
            <w:pPr>
              <w:pStyle w:val="Compact"/>
              <w:jc w:val="left"/>
            </w:pPr>
            <w:r>
              <w:t xml:space="preserve">17.02.2026</w:t>
            </w:r>
          </w:p>
        </w:tc>
        <w:tc>
          <w:tcPr>
            <w:tcW w:w="1948" w:type="dxa"/>
          </w:tcPr>
          <w:p>
            <w:pPr>
              <w:pStyle w:val="Compact"/>
              <w:jc w:val="left"/>
            </w:pPr>
            <w:r>
              <w:t xml:space="preserve">Mario Bulić</w:t>
            </w:r>
          </w:p>
        </w:tc>
      </w:tr>
      <w:tr>
        <w:tc>
          <w:tcPr>
            <w:tcW w:w="1417" w:type="dxa"/>
          </w:tcPr>
          <w:p>
            <w:pPr>
              <w:pStyle w:val="Compact"/>
              <w:jc w:val="left"/>
            </w:pPr>
            <w:r>
              <w:t xml:space="preserve">ISSUE-004</w:t>
            </w:r>
          </w:p>
        </w:tc>
        <w:tc>
          <w:tcPr>
            <w:tcW w:w="2874" w:type="dxa"/>
          </w:tcPr>
          <w:p>
            <w:pPr>
              <w:pStyle w:val="Compact"/>
              <w:jc w:val="left"/>
            </w:pPr>
            <w:r>
              <w:t xml:space="preserve">CI/CD platform inconsistency</w:t>
            </w:r>
          </w:p>
        </w:tc>
        <w:tc>
          <w:tcPr>
            <w:tcW w:w="1336" w:type="dxa"/>
          </w:tcPr>
          <w:p>
            <w:pPr>
              <w:pStyle w:val="Compact"/>
              <w:jc w:val="left"/>
            </w:pPr>
            <w:r>
              <w:t xml:space="preserve">Medium</w:t>
            </w:r>
          </w:p>
        </w:tc>
        <w:tc>
          <w:tcPr>
            <w:tcW w:w="1494" w:type="dxa"/>
          </w:tcPr>
          <w:p>
            <w:pPr>
              <w:pStyle w:val="Compact"/>
              <w:jc w:val="left"/>
            </w:pPr>
            <w:r>
              <w:t xml:space="preserve">Q2 2026</w:t>
            </w:r>
          </w:p>
        </w:tc>
        <w:tc>
          <w:tcPr>
            <w:tcW w:w="1948" w:type="dxa"/>
          </w:tcPr>
          <w:p>
            <w:pPr>
              <w:pStyle w:val="Compact"/>
              <w:jc w:val="left"/>
            </w:pPr>
            <w:r>
              <w:t xml:space="preserve">Mario Bulić</w:t>
            </w:r>
          </w:p>
        </w:tc>
      </w:tr>
      <w:tr>
        <w:tc>
          <w:tcPr>
            <w:tcW w:w="1417" w:type="dxa"/>
          </w:tcPr>
          <w:p>
            <w:pPr>
              <w:pStyle w:val="Compact"/>
              <w:jc w:val="left"/>
            </w:pPr>
            <w:r>
              <w:t xml:space="preserve">ISSUE-005</w:t>
            </w:r>
          </w:p>
        </w:tc>
        <w:tc>
          <w:tcPr>
            <w:tcW w:w="2874" w:type="dxa"/>
          </w:tcPr>
          <w:p>
            <w:pPr>
              <w:pStyle w:val="Compact"/>
              <w:jc w:val="left"/>
            </w:pPr>
            <w:r>
              <w:t xml:space="preserve">FHIR server selection</w:t>
            </w:r>
          </w:p>
        </w:tc>
        <w:tc>
          <w:tcPr>
            <w:tcW w:w="1336" w:type="dxa"/>
          </w:tcPr>
          <w:p>
            <w:pPr>
              <w:pStyle w:val="Compact"/>
              <w:jc w:val="left"/>
            </w:pPr>
            <w:r>
              <w:t xml:space="preserve">Medium</w:t>
            </w:r>
          </w:p>
        </w:tc>
        <w:tc>
          <w:tcPr>
            <w:tcW w:w="1494" w:type="dxa"/>
          </w:tcPr>
          <w:p>
            <w:pPr>
              <w:pStyle w:val="Compact"/>
              <w:jc w:val="left"/>
            </w:pPr>
            <w:r>
              <w:t xml:space="preserve">Q2 2026</w:t>
            </w:r>
          </w:p>
        </w:tc>
        <w:tc>
          <w:tcPr>
            <w:tcW w:w="1948" w:type="dxa"/>
          </w:tcPr>
          <w:p>
            <w:pPr>
              <w:pStyle w:val="Compact"/>
              <w:jc w:val="left"/>
            </w:pPr>
            <w:r>
              <w:t xml:space="preserve">Mario Bulić + WP5</w:t>
            </w:r>
          </w:p>
        </w:tc>
      </w:tr>
      <w:tr>
        <w:tc>
          <w:tcPr>
            <w:tcW w:w="1417" w:type="dxa"/>
          </w:tcPr>
          <w:p>
            <w:pPr>
              <w:pStyle w:val="Compact"/>
              <w:jc w:val="left"/>
            </w:pPr>
            <w:r>
              <w:t xml:space="preserve">ISSUE-006</w:t>
            </w:r>
          </w:p>
        </w:tc>
        <w:tc>
          <w:tcPr>
            <w:tcW w:w="2874" w:type="dxa"/>
          </w:tcPr>
          <w:p>
            <w:pPr>
              <w:pStyle w:val="Compact"/>
              <w:jc w:val="left"/>
            </w:pPr>
            <w:r>
              <w:t xml:space="preserve">Local storage selection</w:t>
            </w:r>
          </w:p>
        </w:tc>
        <w:tc>
          <w:tcPr>
            <w:tcW w:w="1336" w:type="dxa"/>
          </w:tcPr>
          <w:p>
            <w:pPr>
              <w:pStyle w:val="Compact"/>
              <w:jc w:val="left"/>
            </w:pPr>
            <w:r>
              <w:t xml:space="preserve">Medium</w:t>
            </w:r>
          </w:p>
        </w:tc>
        <w:tc>
          <w:tcPr>
            <w:tcW w:w="1494" w:type="dxa"/>
          </w:tcPr>
          <w:p>
            <w:pPr>
              <w:pStyle w:val="Compact"/>
              <w:jc w:val="left"/>
            </w:pPr>
            <w:r>
              <w:t xml:space="preserve">Q2 2026</w:t>
            </w:r>
          </w:p>
        </w:tc>
        <w:tc>
          <w:tcPr>
            <w:tcW w:w="1948" w:type="dxa"/>
          </w:tcPr>
          <w:p>
            <w:pPr>
              <w:pStyle w:val="Compact"/>
              <w:jc w:val="left"/>
            </w:pPr>
            <w:r>
              <w:t xml:space="preserve">Mario Bulić</w:t>
            </w:r>
          </w:p>
        </w:tc>
      </w:tr>
      <w:tr>
        <w:tc>
          <w:tcPr>
            <w:tcW w:w="1417" w:type="dxa"/>
          </w:tcPr>
          <w:p>
            <w:pPr>
              <w:pStyle w:val="Compact"/>
              <w:jc w:val="left"/>
            </w:pPr>
            <w:r>
              <w:t xml:space="preserve">ISSUE-007</w:t>
            </w:r>
          </w:p>
        </w:tc>
        <w:tc>
          <w:tcPr>
            <w:tcW w:w="2874" w:type="dxa"/>
          </w:tcPr>
          <w:p>
            <w:pPr>
              <w:pStyle w:val="Compact"/>
              <w:jc w:val="left"/>
            </w:pPr>
            <w:r>
              <w:t xml:space="preserve">IaC scope (Terraform vs Compose)</w:t>
            </w:r>
          </w:p>
        </w:tc>
        <w:tc>
          <w:tcPr>
            <w:tcW w:w="1336" w:type="dxa"/>
          </w:tcPr>
          <w:p>
            <w:pPr>
              <w:pStyle w:val="Compact"/>
              <w:jc w:val="left"/>
            </w:pPr>
            <w:r>
              <w:t xml:space="preserve">Low</w:t>
            </w:r>
          </w:p>
        </w:tc>
        <w:tc>
          <w:tcPr>
            <w:tcW w:w="1494" w:type="dxa"/>
          </w:tcPr>
          <w:p>
            <w:pPr>
              <w:pStyle w:val="Compact"/>
              <w:jc w:val="left"/>
            </w:pPr>
            <w:r>
              <w:t xml:space="preserve">Q2 2026</w:t>
            </w:r>
          </w:p>
        </w:tc>
        <w:tc>
          <w:tcPr>
            <w:tcW w:w="1948" w:type="dxa"/>
          </w:tcPr>
          <w:p>
            <w:pPr>
              <w:pStyle w:val="Compact"/>
              <w:jc w:val="left"/>
            </w:pPr>
            <w:r>
              <w:t xml:space="preserve">Mario Bulić</w:t>
            </w:r>
          </w:p>
        </w:tc>
      </w:tr>
      <w:tr>
        <w:tc>
          <w:tcPr>
            <w:tcW w:w="1417" w:type="dxa"/>
          </w:tcPr>
          <w:p>
            <w:pPr>
              <w:pStyle w:val="Compact"/>
              <w:jc w:val="left"/>
            </w:pPr>
            <w:r>
              <w:t xml:space="preserve">ISSUE-009</w:t>
            </w:r>
          </w:p>
        </w:tc>
        <w:tc>
          <w:tcPr>
            <w:tcW w:w="2874" w:type="dxa"/>
          </w:tcPr>
          <w:p>
            <w:pPr>
              <w:pStyle w:val="Compact"/>
              <w:jc w:val="left"/>
            </w:pPr>
            <w:r>
              <w:t xml:space="preserve">API contract specification</w:t>
            </w:r>
          </w:p>
        </w:tc>
        <w:tc>
          <w:tcPr>
            <w:tcW w:w="1336" w:type="dxa"/>
          </w:tcPr>
          <w:p>
            <w:pPr>
              <w:pStyle w:val="Compact"/>
              <w:jc w:val="left"/>
            </w:pPr>
            <w:r>
              <w:t xml:space="preserve">Medium</w:t>
            </w:r>
          </w:p>
        </w:tc>
        <w:tc>
          <w:tcPr>
            <w:tcW w:w="1494" w:type="dxa"/>
          </w:tcPr>
          <w:p>
            <w:pPr>
              <w:pStyle w:val="Compact"/>
              <w:jc w:val="left"/>
            </w:pPr>
            <w:r>
              <w:t xml:space="preserve">Q2 2026</w:t>
            </w:r>
          </w:p>
        </w:tc>
        <w:tc>
          <w:tcPr>
            <w:tcW w:w="1948" w:type="dxa"/>
          </w:tcPr>
          <w:p>
            <w:pPr>
              <w:pStyle w:val="Compact"/>
              <w:jc w:val="left"/>
            </w:pPr>
            <w:r>
              <w:t xml:space="preserve">Mario Bulić</w:t>
            </w:r>
          </w:p>
        </w:tc>
      </w:tr>
    </w:tbl>
    <w:bookmarkEnd w:id="33"/>
    <w:bookmarkStart w:id="34" w:name="next-steps"/>
    <w:p>
      <w:pPr>
        <w:pStyle w:val="Heading2"/>
      </w:pPr>
      <w:r>
        <w:t xml:space="preserve">5. Next Steps</w:t>
      </w:r>
    </w:p>
    <w:p>
      <w:pPr>
        <w:numPr>
          <w:ilvl w:val="0"/>
          <w:numId w:val="1023"/>
        </w:numPr>
        <w:pStyle w:val="Compact"/>
      </w:pPr>
      <w:r>
        <w:rPr>
          <w:bCs/>
          <w:b/>
        </w:rPr>
        <w:t xml:space="preserve">Immediate (before 17.02.2026):</w:t>
      </w:r>
      <w:r>
        <w:t xml:space="preserve"> </w:t>
      </w:r>
      <w:r>
        <w:t xml:space="preserve">Resolve ISSUE-001 through ISSUE-003 and update ADR-001, ADR-002, and Tech Stack document accordingly.</w:t>
      </w:r>
    </w:p>
    <w:p>
      <w:pPr>
        <w:numPr>
          <w:ilvl w:val="0"/>
          <w:numId w:val="1023"/>
        </w:numPr>
        <w:pStyle w:val="Compact"/>
      </w:pPr>
      <w:r>
        <w:rPr>
          <w:bCs/>
          <w:b/>
        </w:rPr>
        <w:t xml:space="preserve">Design Review (17.02.2026):</w:t>
      </w:r>
      <w:r>
        <w:t xml:space="preserve"> </w:t>
      </w:r>
      <w:r>
        <w:t xml:space="preserve">Present the resolved issues and the remaining medium-priority items. Seek consortium agreement on ISSUE-005 (FHIR server) and ISSUE-008 (timeline buffer).</w:t>
      </w:r>
    </w:p>
    <w:p>
      <w:pPr>
        <w:numPr>
          <w:ilvl w:val="0"/>
          <w:numId w:val="1023"/>
        </w:numPr>
        <w:pStyle w:val="Compact"/>
      </w:pPr>
      <w:r>
        <w:rPr>
          <w:bCs/>
          <w:b/>
        </w:rPr>
        <w:t xml:space="preserve">Before Q2 2026 development:</w:t>
      </w:r>
      <w:r>
        <w:t xml:space="preserve"> </w:t>
      </w:r>
      <w:r>
        <w:t xml:space="preserve">Close all remaining open questions (ISSUE-004 through ISSUE-010). Update the Tech Stack document to remove Section 9 open questions that have been resolved.</w:t>
      </w:r>
    </w:p>
    <w:p>
      <w:pPr>
        <w:numPr>
          <w:ilvl w:val="0"/>
          <w:numId w:val="1023"/>
        </w:numPr>
        <w:pStyle w:val="Compact"/>
      </w:pPr>
      <w:r>
        <w:rPr>
          <w:bCs/>
          <w:b/>
        </w:rPr>
        <w:t xml:space="preserve">Ongoing:</w:t>
      </w:r>
      <w:r>
        <w:t xml:space="preserve"> </w:t>
      </w:r>
      <w:r>
        <w:t xml:space="preserve">Each resolved issue should be reflected in the relevant ADR or the Tech Stack document. No decisions should exist only in this review document.</w:t>
      </w:r>
    </w:p>
    <w:p>
      <w:pPr>
        <w:pStyle w:val="FirstParagraph"/>
      </w:pPr>
      <w:r>
        <w:rPr>
          <w:iCs/>
          <w:i/>
        </w:rPr>
        <w:t xml:space="preserve">This document was produced as part of the architectural review process for the präNUDGE project. All proposed resolutions are recommendations subject to consortium discussion and approval.</w:t>
      </w:r>
    </w:p>
    <w:bookmarkEnd w:id="34"/>
    <w:bookmarkEnd w:id="35"/>
    <w:sectPr>
      <w:footerReference r:id="rId9" w:type="default"/>
      <w:pgSz w:h="16838" w:w="11906"/>
      <w:pgMar w:bottom="1418" w:footer="709" w:header="709"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Footer"/>
      <w:tabs>
        <w:tab w:val="right" w:pos="9070"/>
      </w:tabs>
      <w:rPr>
        <w:rFonts w:ascii="Liberation Sans" w:hAnsi="Liberation Sans"/>
        <w:sz w:val="16"/>
        <w:szCs w:val="16"/>
        <w:color w:val="808080"/>
      </w:rPr>
    </w:pPr>
    <!-- Left: FILENAME field -->
    <w:r>
      <w:rPr>
        <w:rFonts w:ascii="Liberation Sans" w:hAnsi="Liberation Sans"/>
        <w:sz w:val="16"/>
        <w:szCs w:val="16"/>
        <w:color w:val="808080"/>
      </w:rPr>
      <w:fldChar w:fldCharType="begin"/>
    </w:r>
    <w:r>
      <w:rPr>
        <w:rFonts w:ascii="Liberation Sans" w:hAnsi="Liberation Sans"/>
        <w:sz w:val="16"/>
        <w:szCs w:val="16"/>
        <w:color w:val="808080"/>
      </w:rPr>
      <w:instrText xml:space="preserve"> FILENAME </w:instrText>
    </w:r>
    <w:r>
      <w:rPr>
        <w:rFonts w:ascii="Liberation Sans" w:hAnsi="Liberation Sans"/>
        <w:sz w:val="16"/>
        <w:szCs w:val="16"/>
        <w:color w:val="808080"/>
      </w:rPr>
      <w:fldChar w:fldCharType="end"/>
    </w:r>
    <!-- Tab to right -->
    <w:r>
      <w:rPr>
        <w:rFonts w:ascii="Liberation Sans" w:hAnsi="Liberation Sans"/>
        <w:sz w:val="16"/>
        <w:szCs w:val="16"/>
        <w:color w:val="808080"/>
      </w:rPr>
      <w:tab/>
    </w:r>
    <!-- Right: PAGE / NUMPAGES -->
    <w:r>
      <w:rPr>
        <w:rFonts w:ascii="Liberation Sans" w:hAnsi="Liberation Sans"/>
        <w:sz w:val="16"/>
        <w:szCs w:val="16"/>
        <w:color w:val="808080"/>
      </w:rPr>
      <w:fldChar w:fldCharType="begin"/>
    </w:r>
    <w:r>
      <w:rPr>
        <w:rFonts w:ascii="Liberation Sans" w:hAnsi="Liberation Sans"/>
        <w:sz w:val="16"/>
        <w:szCs w:val="16"/>
        <w:color w:val="808080"/>
      </w:rPr>
      <w:instrText xml:space="preserve"> PAGE </w:instrText>
    </w:r>
    <w:r>
      <w:rPr>
        <w:rFonts w:ascii="Liberation Sans" w:hAnsi="Liberation Sans"/>
        <w:sz w:val="16"/>
        <w:szCs w:val="16"/>
        <w:color w:val="808080"/>
      </w:rPr>
      <w:fldChar w:fldCharType="end"/>
    </w:r>
    <w:r>
      <w:rPr>
        <w:rFonts w:ascii="Liberation Sans" w:hAnsi="Liberation Sans"/>
        <w:sz w:val="16"/>
        <w:szCs w:val="16"/>
        <w:color w:val="808080"/>
      </w:rPr>
      <w:t>/</w:t>
    </w:r>
    <w:r>
      <w:rPr>
        <w:rFonts w:ascii="Liberation Sans" w:hAnsi="Liberation Sans"/>
        <w:sz w:val="16"/>
        <w:szCs w:val="16"/>
        <w:color w:val="808080"/>
      </w:rPr>
      <w:fldChar w:fldCharType="begin"/>
    </w:r>
    <w:r>
      <w:rPr>
        <w:rFonts w:ascii="Liberation Sans" w:hAnsi="Liberation Sans"/>
        <w:sz w:val="16"/>
        <w:szCs w:val="16"/>
        <w:color w:val="808080"/>
      </w:rPr>
      <w:instrText xml:space="preserve"> NUMPAGES </w:instrText>
    </w:r>
    <w:r>
      <w:rPr>
        <w:rFonts w:ascii="Liberation Sans" w:hAnsi="Liberation Sans"/>
        <w:sz w:val="16"/>
        <w:szCs w:val="16"/>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ans" w:cs="Liberation Sans" w:hAnsi="Liberation Sans"/>
      <w:sz w:val="20"/>
      <w:szCs w:val="20"/>
    </w:rPr>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Liberation Sans" w:asciiTheme="majorHAnsi" w:cs="Liberation Sans" w:cstheme="majorBidi" w:eastAsiaTheme="majorEastAsia" w:hAnsi="Liberation Sans"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Liberation Sans" w:cs="Liberation Sans" w:hAnsi="Liberation Sans"/>
      <w:sz w:val="20"/>
      <w:szCs w:val="20"/>
    </w:rPr>
  </w:style>
  <w:style w:styleId="Date" w:type="paragraph">
    <w:name w:val="Date"/>
    <w:next w:val="BodyText"/>
    <w:qFormat/>
    <w:pPr>
      <w:keepNext/>
      <w:keepLines/>
      <w:jc w:val="center"/>
    </w:pPr>
    <w:rPr>
      <w:rFonts w:ascii="Liberation Sans" w:cs="Liberation Sans" w:hAnsi="Liberation Sans"/>
      <w:sz w:val="20"/>
      <w:szCs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13" w:before="480"/>
      <w:outlineLvl w:val="0"/>
    </w:pPr>
    <w:rPr>
      <w:rFonts w:ascii="Liberation Sans" w:asciiTheme="majorHAnsi" w:cs="Liberation Sans" w:cstheme="majorBidi" w:eastAsiaTheme="majorEastAsia" w:hAnsi="Liberation Sans"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13" w:before="200"/>
      <w:outlineLvl w:val="1"/>
    </w:pPr>
    <w:rPr>
      <w:rFonts w:ascii="Liberation Sans" w:asciiTheme="majorHAnsi" w:cs="Liberation Sans" w:cstheme="majorBidi" w:eastAsiaTheme="majorEastAsia" w:hAnsi="Liberation Sans"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113" w:before="200"/>
      <w:outlineLvl w:val="2"/>
    </w:pPr>
    <w:rPr>
      <w:rFonts w:ascii="Liberation Sans" w:asciiTheme="majorHAnsi" w:cs="Liberation Sans" w:cstheme="majorBidi" w:eastAsiaTheme="majorEastAsia" w:hAnsi="Liberation Sans"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113" w:before="200"/>
      <w:outlineLvl w:val="3"/>
    </w:pPr>
    <w:rPr>
      <w:rFonts w:ascii="Liberation Sans" w:asciiTheme="majorHAnsi" w:cs="Liberation Sans" w:cstheme="majorBidi" w:eastAsiaTheme="majorEastAsia" w:hAnsi="Liberation Sans"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113" w:before="200"/>
      <w:outlineLvl w:val="4"/>
    </w:pPr>
    <w:rPr>
      <w:rFonts w:ascii="Liberation Sans" w:asciiTheme="majorHAnsi" w:cs="Liberation Sans" w:cstheme="majorBidi" w:eastAsiaTheme="majorEastAsia" w:hAnsi="Liberation Sans"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113" w:before="200"/>
      <w:outlineLvl w:val="5"/>
    </w:pPr>
    <w:rPr>
      <w:rFonts w:ascii="Liberation Sans" w:asciiTheme="majorHAnsi" w:cs="Liberation Sans" w:cstheme="majorBidi" w:eastAsiaTheme="majorEastAsia" w:hAnsi="Liberation Sans" w:hAnsiTheme="majorHAnsi"/>
      <w:color w:themeColor="accent1" w:val="4F81BD"/>
      <w:sz w:val="24"/>
      <w:szCs w:val="24"/>
    </w:rPr>
  </w:style>
  <w:style w:styleId="Heading7" w:type="paragraph">
    <w:name w:val="Heading 7"/>
    <w:basedOn w:val="Normal"/>
    <w:next w:val="BodyText"/>
    <w:uiPriority w:val="9"/>
    <w:unhideWhenUsed/>
    <w:qFormat/>
    <w:pPr>
      <w:keepNext/>
      <w:keepLines/>
      <w:spacing w:after="113" w:before="200"/>
      <w:outlineLvl w:val="6"/>
    </w:pPr>
    <w:rPr>
      <w:rFonts w:ascii="Liberation Sans" w:asciiTheme="majorHAnsi" w:cs="Liberation Sans" w:cstheme="majorBidi" w:eastAsiaTheme="majorEastAsia" w:hAnsi="Liberation Sans" w:hAnsiTheme="majorHAnsi"/>
      <w:color w:themeColor="accent1" w:val="4F81BD"/>
      <w:sz w:val="24"/>
      <w:szCs w:val="24"/>
    </w:rPr>
  </w:style>
  <w:style w:styleId="Heading8" w:type="paragraph">
    <w:name w:val="Heading 8"/>
    <w:basedOn w:val="Normal"/>
    <w:next w:val="BodyText"/>
    <w:uiPriority w:val="9"/>
    <w:unhideWhenUsed/>
    <w:qFormat/>
    <w:pPr>
      <w:keepNext/>
      <w:keepLines/>
      <w:spacing w:after="113" w:before="200"/>
      <w:outlineLvl w:val="7"/>
    </w:pPr>
    <w:rPr>
      <w:rFonts w:ascii="Liberation Sans" w:asciiTheme="majorHAnsi" w:cs="Liberation Sans" w:cstheme="majorBidi" w:eastAsiaTheme="majorEastAsia" w:hAnsi="Liberation Sans" w:hAnsiTheme="majorHAnsi"/>
      <w:color w:themeColor="accent1" w:val="4F81BD"/>
      <w:sz w:val="24"/>
      <w:szCs w:val="24"/>
    </w:rPr>
  </w:style>
  <w:style w:styleId="Heading9" w:type="paragraph">
    <w:name w:val="Heading 9"/>
    <w:basedOn w:val="Normal"/>
    <w:next w:val="BodyText"/>
    <w:uiPriority w:val="9"/>
    <w:unhideWhenUsed/>
    <w:qFormat/>
    <w:pPr>
      <w:keepNext/>
      <w:keepLines/>
      <w:spacing w:after="113" w:before="200"/>
      <w:outlineLvl w:val="8"/>
    </w:pPr>
    <w:rPr>
      <w:rFonts w:ascii="Liberation Sans" w:asciiTheme="majorHAnsi" w:cs="Liberation Sans" w:cstheme="majorBidi" w:eastAsiaTheme="majorEastAsia" w:hAnsi="Liberation Sans"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Footer" w:type="paragraph">
    <w:name w:val="footer"/>
    <w:basedOn w:val="Normal"/>
    <w:pPr>
      <w:tabs>
        <w:tab w:pos="9070" w:val="right"/>
      </w:tabs>
    </w:pPr>
    <w:rPr>
      <w:sz w:val="16"/>
      <w:szCs w:val="16"/>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2026-02-06T05:56:05Z</dcterms:created>
  <dcterms:modified xsi:type="dcterms:W3CDTF">2026-02-06T05:56:05Z</dcterms:modified>
</cp:coreProperties>
</file>

<file path=docProps/custom.xml><?xml version="1.0" encoding="utf-8"?>
<Properties xmlns="http://schemas.openxmlformats.org/officeDocument/2006/custom-properties" xmlns:vt="http://schemas.openxmlformats.org/officeDocument/2006/docPropsVTypes"/>
</file>