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may be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two obstructions that you must create for the Tank Game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will be played when the game is begun. The both players can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A sound 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A sound 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bookmarkStart w:id="0" w:name="_GoBack"/>
      <w:bookmarkEnd w:id="0"/>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KeyboardControl is one of subclasses of tanksGame. It is a superclass of KeyboardEvents. The class works with the TanksGame.GameKeyControl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is used in the KeyboardControl.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E02733"/>
    <w:rsid w:val="432D664E"/>
    <w:rsid w:val="468B1553"/>
    <w:rsid w:val="495242E5"/>
    <w:rsid w:val="55492386"/>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2017-12-25T19:12:36Z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