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Договор на оказание SMM-услуг (шаблон)</w:t>
      </w:r>
    </w:p>
    <w:p>
      <w:pPr>
        <w:jc w:val="center"/>
      </w:pPr>
      <w:r>
        <w:rPr>
          <w:i/>
        </w:rPr>
        <w:t>Пример. Проверьте с юристом перед применением.</w:t>
      </w:r>
    </w:p>
    <w:p/>
    <w:p>
      <w:r>
        <w:t>Город _________, «___» ________ 20__ г.</w:t>
      </w:r>
    </w:p>
    <w:p>
      <w:r>
        <w:t>Исполнитель: ______________________, ИНН/ПИНФЛ _____________, адрес _____________.</w:t>
      </w:r>
    </w:p>
    <w:p>
      <w:r>
        <w:t>Заказчик: _________________________, ИНН/ПИНФЛ _____________, адрес _____________.</w:t>
      </w:r>
    </w:p>
    <w:p/>
    <w:p>
      <w:pPr>
        <w:pStyle w:val="Heading2"/>
      </w:pPr>
      <w:r>
        <w:t>1. Предмет договора</w:t>
      </w:r>
    </w:p>
    <w:p>
      <w:pPr>
        <w:pStyle w:val="ListBullet"/>
      </w:pPr>
      <w:r>
        <w:t>Ведение социальных сетей Заказчика (Instagram/Telegram/другие) и настройка рекламы.</w:t>
      </w:r>
    </w:p>
    <w:p>
      <w:pPr>
        <w:pStyle w:val="ListBullet"/>
      </w:pPr>
      <w:r>
        <w:t>Цели и KPI фиксируются в Приложении №1. Без Приложения KPI — договор считается незаключённым.</w:t>
      </w:r>
    </w:p>
    <w:p>
      <w:pPr>
        <w:pStyle w:val="Heading2"/>
      </w:pPr>
      <w:r>
        <w:t>2. KPI и отчётность</w:t>
      </w:r>
    </w:p>
    <w:p>
      <w:pPr>
        <w:pStyle w:val="ListBullet"/>
      </w:pPr>
      <w:r>
        <w:t>Обязательные метрики: CPL, CR в лид, ROMI. Охваты/лайки не являются KPI.</w:t>
      </w:r>
    </w:p>
    <w:p>
      <w:pPr>
        <w:pStyle w:val="ListBullet"/>
      </w:pPr>
      <w:r>
        <w:t>Отчёт еженедельно в формате таблицы: бюджет, показы, клики, CPL, заявки, продажи.</w:t>
      </w:r>
    </w:p>
    <w:p>
      <w:pPr>
        <w:pStyle w:val="ListBullet"/>
      </w:pPr>
      <w:r>
        <w:t>Доступ Заказчика к рекламным кабинетам в режиме только чтение.</w:t>
      </w:r>
    </w:p>
    <w:p>
      <w:pPr>
        <w:pStyle w:val="Heading2"/>
      </w:pPr>
      <w:r>
        <w:t>3. Рекламные кабинеты и права доступа</w:t>
      </w:r>
    </w:p>
    <w:p>
      <w:pPr>
        <w:pStyle w:val="ListBullet"/>
      </w:pPr>
      <w:r>
        <w:t>Кабинеты создаются на юридическое лицо Заказчика. Исполнитель получает роль.</w:t>
      </w:r>
    </w:p>
    <w:p>
      <w:pPr>
        <w:pStyle w:val="ListBullet"/>
      </w:pPr>
      <w:r>
        <w:t>Пиксели/теги/аналитика оформляются на Заказчика.</w:t>
      </w:r>
    </w:p>
    <w:p>
      <w:pPr>
        <w:pStyle w:val="Heading2"/>
      </w:pPr>
      <w:r>
        <w:t>4. Стоимость и порядок оплаты</w:t>
      </w:r>
    </w:p>
    <w:p>
      <w:pPr>
        <w:pStyle w:val="ListBullet"/>
      </w:pPr>
      <w:r>
        <w:t>Фиксированная абонентская плата: ___________ сум/месяц.</w:t>
      </w:r>
    </w:p>
    <w:p>
      <w:pPr>
        <w:pStyle w:val="ListBullet"/>
      </w:pPr>
      <w:r>
        <w:t>Бонус за результат (опционально): _________.</w:t>
      </w:r>
    </w:p>
    <w:p>
      <w:pPr>
        <w:pStyle w:val="ListBullet"/>
      </w:pPr>
      <w:r>
        <w:t>Рекламный бюджет оплачивается Заказчиком напрямую платформам.</w:t>
      </w:r>
    </w:p>
    <w:p>
      <w:pPr>
        <w:pStyle w:val="Heading2"/>
      </w:pPr>
      <w:r>
        <w:t>5. Конфиденциальность и данные</w:t>
      </w:r>
    </w:p>
    <w:p>
      <w:pPr>
        <w:pStyle w:val="ListBullet"/>
      </w:pPr>
      <w:r>
        <w:t>Исполнитель обязуется соблюдать NDA. Данные CRM принадлежат Заказчику.</w:t>
      </w:r>
    </w:p>
    <w:p>
      <w:pPr>
        <w:pStyle w:val="ListBullet"/>
      </w:pPr>
      <w:r>
        <w:t>Доступы хранятся в менеджере паролей, передаются по защищённым каналам.</w:t>
      </w:r>
    </w:p>
    <w:p>
      <w:pPr>
        <w:pStyle w:val="Heading2"/>
      </w:pPr>
      <w:r>
        <w:t>6. Ответственность</w:t>
      </w:r>
    </w:p>
    <w:p>
      <w:pPr>
        <w:pStyle w:val="ListBullet"/>
      </w:pPr>
      <w:r>
        <w:t>Штраф за ведение без UTM/пикселя/отчётов — _________.</w:t>
      </w:r>
    </w:p>
    <w:p>
      <w:pPr>
        <w:pStyle w:val="ListBullet"/>
      </w:pPr>
      <w:r>
        <w:t>Публикация недостоверной информации — основание для расторжения.</w:t>
      </w:r>
    </w:p>
    <w:p>
      <w:pPr>
        <w:pStyle w:val="Heading2"/>
      </w:pPr>
      <w:r>
        <w:t>7. Срок действия и расторжение</w:t>
      </w:r>
    </w:p>
    <w:p>
      <w:pPr>
        <w:pStyle w:val="ListBullet"/>
      </w:pPr>
      <w:r>
        <w:t>Срок: с ___ ________ 20__ г. по ___ ________ 20__ г.</w:t>
      </w:r>
    </w:p>
    <w:p>
      <w:pPr>
        <w:pStyle w:val="ListBullet"/>
      </w:pPr>
      <w:r>
        <w:t>Расторжение по уведомлению за 15 календарных дней.</w:t>
      </w:r>
    </w:p>
    <w:p>
      <w:pPr>
        <w:pStyle w:val="Heading2"/>
      </w:pPr>
      <w:r>
        <w:t>Приложение №1. KPI и медиаплан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Канал</w:t>
            </w:r>
          </w:p>
        </w:tc>
        <w:tc>
          <w:tcPr>
            <w:tcW w:type="dxa" w:w="1440"/>
          </w:tcPr>
          <w:p>
            <w:r>
              <w:t>Бюджет</w:t>
            </w:r>
          </w:p>
        </w:tc>
        <w:tc>
          <w:tcPr>
            <w:tcW w:type="dxa" w:w="1440"/>
          </w:tcPr>
          <w:p>
            <w:r>
              <w:t>CPL план</w:t>
            </w:r>
          </w:p>
        </w:tc>
        <w:tc>
          <w:tcPr>
            <w:tcW w:type="dxa" w:w="1440"/>
          </w:tcPr>
          <w:p>
            <w:r>
              <w:t>Лидов план</w:t>
            </w:r>
          </w:p>
        </w:tc>
        <w:tc>
          <w:tcPr>
            <w:tcW w:type="dxa" w:w="1440"/>
          </w:tcPr>
          <w:p>
            <w:r>
              <w:t>CR в продажу</w:t>
            </w:r>
          </w:p>
        </w:tc>
        <w:tc>
          <w:tcPr>
            <w:tcW w:type="dxa" w:w="1440"/>
          </w:tcPr>
          <w:p>
            <w:r>
              <w:t>ROMI план</w:t>
            </w:r>
          </w:p>
        </w:tc>
      </w:tr>
      <w:tr>
        <w:tc>
          <w:tcPr>
            <w:tcW w:type="dxa" w:w="1440"/>
          </w:tcPr>
          <w:p>
            <w:r>
              <w:t>Instagram Ads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Telegram Ads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Другое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Inter" w:hAnsi="Inter" w:eastAsia="Inte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