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F9FFC">
      <w:pPr>
        <w:pStyle w:val="31"/>
      </w:pPr>
      <w:r>
        <w:t>老子道学书院技术说明</w:t>
      </w:r>
    </w:p>
    <w:p w14:paraId="42C4B82E">
      <w:r>
        <w:t>本项目采用手机 App、浏览器运营后台和统一数据服务组成的技术架构。学员使用 App，工作人员使用后台，两端通过后端读取和处理同一套业务数据。本说明介绍所采用的技术、各部分如何协作，以及订单、课程和用户信息的处理方式。</w:t>
      </w:r>
    </w:p>
    <w:p w14:paraId="6A6C11F3">
      <w:pPr>
        <w:pStyle w:val="3"/>
      </w:pPr>
      <w:r>
        <w:t>1 技术架构与选型</w:t>
      </w:r>
    </w:p>
    <w:p w14:paraId="5DA965EB">
      <w:r>
        <w:t>整体连接关系：手机 App / 运营后台 → HTTPS 加密接口 → 后端业务服务 → 数据库与媒体文件。支付、短信等外部平台通过各自接口与后端连接。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592"/>
        <w:gridCol w:w="5904"/>
      </w:tblGrid>
      <w:tr w14:paraId="21E5C4C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shd w:val="clear" w:color="auto" w:fill="E8EDF0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C5449CA"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技术层</w:t>
            </w:r>
          </w:p>
        </w:tc>
        <w:tc>
          <w:tcPr>
            <w:tcW w:w="2592" w:type="dxa"/>
            <w:shd w:val="clear" w:color="auto" w:fill="E8EDF0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D4D139F">
            <w:pPr>
              <w:spacing w:after="0" w:line="300" w:lineRule="exact"/>
            </w:pPr>
            <w:r>
              <w:rPr>
                <w:b/>
                <w:sz w:val="20"/>
              </w:rPr>
              <w:t>选用技术</w:t>
            </w:r>
          </w:p>
        </w:tc>
        <w:tc>
          <w:tcPr>
            <w:tcW w:w="5904" w:type="dxa"/>
            <w:shd w:val="clear" w:color="auto" w:fill="E8EDF0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B4EF21E">
            <w:pPr>
              <w:spacing w:after="0" w:line="300" w:lineRule="exact"/>
            </w:pPr>
            <w:r>
              <w:rPr>
                <w:b/>
                <w:sz w:val="20"/>
              </w:rPr>
              <w:t>用通俗语言解释</w:t>
            </w:r>
          </w:p>
        </w:tc>
      </w:tr>
      <w:tr w14:paraId="026A88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58D3E72"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手机 App</w:t>
            </w:r>
          </w:p>
        </w:tc>
        <w:tc>
          <w:tcPr>
            <w:tcW w:w="259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0C4654D">
            <w:pPr>
              <w:spacing w:after="0" w:line="300" w:lineRule="exact"/>
            </w:pPr>
            <w:r>
              <w:rPr>
                <w:b w:val="0"/>
                <w:sz w:val="20"/>
              </w:rPr>
              <w:t>uni-app x 蒸汽模式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Vue 3</w:t>
            </w:r>
          </w:p>
        </w:tc>
        <w:tc>
          <w:tcPr>
            <w:tcW w:w="5904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4CA03C7">
            <w:pPr>
              <w:spacing w:after="0" w:line="300" w:lineRule="exact"/>
            </w:pPr>
            <w:r>
              <w:rPr>
                <w:b w:val="0"/>
                <w:sz w:val="20"/>
              </w:rPr>
              <w:t>尽量用一套代码开发 Android 和 iOS 界面，由平台工具生成手机安装包；摄像头、播放、支付等能力按手机平台适配。</w:t>
            </w:r>
          </w:p>
        </w:tc>
      </w:tr>
      <w:tr w14:paraId="0531F9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BA687C4"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运营后台</w:t>
            </w:r>
          </w:p>
        </w:tc>
        <w:tc>
          <w:tcPr>
            <w:tcW w:w="259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3C3057D">
            <w:pPr>
              <w:spacing w:after="0" w:line="300" w:lineRule="exact"/>
            </w:pPr>
            <w:r>
              <w:rPr>
                <w:b w:val="0"/>
                <w:sz w:val="20"/>
              </w:rPr>
              <w:t>Ant Design Pro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React 与 Umi</w:t>
            </w:r>
          </w:p>
        </w:tc>
        <w:tc>
          <w:tcPr>
            <w:tcW w:w="5904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A265684">
            <w:pPr>
              <w:spacing w:after="0" w:line="300" w:lineRule="exact"/>
            </w:pPr>
            <w:r>
              <w:rPr>
                <w:b w:val="0"/>
                <w:sz w:val="20"/>
              </w:rPr>
              <w:t>在官方后台模板上二次开发，复用表格、表单、菜单和管理布局，承载书院的内容及业务管理。</w:t>
            </w:r>
          </w:p>
        </w:tc>
      </w:tr>
      <w:tr w14:paraId="45AA8D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EFCB172"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后端服务</w:t>
            </w:r>
          </w:p>
        </w:tc>
        <w:tc>
          <w:tcPr>
            <w:tcW w:w="259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AD1F4C8">
            <w:pPr>
              <w:spacing w:after="0" w:line="300" w:lineRule="exact"/>
            </w:pPr>
            <w:r>
              <w:rPr>
                <w:b w:val="0"/>
                <w:sz w:val="20"/>
              </w:rPr>
              <w:t>NestJS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Node.js 与 TypeScript</w:t>
            </w:r>
          </w:p>
        </w:tc>
        <w:tc>
          <w:tcPr>
            <w:tcW w:w="5904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78EDD2D">
            <w:pPr>
              <w:spacing w:after="0" w:line="300" w:lineRule="exact"/>
            </w:pPr>
            <w:r>
              <w:rPr>
                <w:b w:val="0"/>
                <w:sz w:val="20"/>
              </w:rPr>
              <w:t>统一处理登录、查询、订单、权限和售后。TypeScript 能帮助开发人员提前发现一部分数据类型错误。</w:t>
            </w:r>
          </w:p>
        </w:tc>
      </w:tr>
      <w:tr w14:paraId="07F910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89B039E"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数据存储</w:t>
            </w:r>
          </w:p>
        </w:tc>
        <w:tc>
          <w:tcPr>
            <w:tcW w:w="259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B29AF66">
            <w:pPr>
              <w:spacing w:after="0" w:line="300" w:lineRule="exact"/>
            </w:pPr>
            <w:r>
              <w:rPr>
                <w:b w:val="0"/>
                <w:sz w:val="20"/>
              </w:rPr>
              <w:t>PostgreSQL 与 Prisma</w:t>
            </w:r>
          </w:p>
        </w:tc>
        <w:tc>
          <w:tcPr>
            <w:tcW w:w="5904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A489126">
            <w:pPr>
              <w:spacing w:after="0" w:line="300" w:lineRule="exact"/>
            </w:pPr>
            <w:r>
              <w:rPr>
                <w:b w:val="0"/>
                <w:sz w:val="20"/>
              </w:rPr>
              <w:t>PostgreSQL 保存关联记录；Prisma 帮助程序读取和修改数据，并记录数据库结构的变更。</w:t>
            </w:r>
          </w:p>
        </w:tc>
      </w:tr>
      <w:tr w14:paraId="1693A7A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DC92882"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运行环境</w:t>
            </w:r>
          </w:p>
        </w:tc>
        <w:tc>
          <w:tcPr>
            <w:tcW w:w="259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8BBE31F">
            <w:pPr>
              <w:spacing w:after="0" w:line="300" w:lineRule="exact"/>
            </w:pPr>
            <w:r>
              <w:rPr>
                <w:b w:val="0"/>
                <w:sz w:val="20"/>
              </w:rPr>
              <w:t>Linux、Docker Compose</w:t>
            </w:r>
            <w:r>
              <w:rPr>
                <w:b w:val="0"/>
                <w:sz w:val="20"/>
              </w:rPr>
              <w:br w:type="textWrapping"/>
            </w:r>
            <w:r>
              <w:rPr>
                <w:b w:val="0"/>
                <w:sz w:val="20"/>
              </w:rPr>
              <w:t>Nginx 与 HTTPS</w:t>
            </w:r>
          </w:p>
        </w:tc>
        <w:tc>
          <w:tcPr>
            <w:tcW w:w="5904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B105E82">
            <w:pPr>
              <w:spacing w:after="0" w:line="300" w:lineRule="exact"/>
            </w:pPr>
            <w:r>
              <w:rPr>
                <w:b w:val="0"/>
                <w:sz w:val="20"/>
              </w:rPr>
              <w:t>把服务放在云服务器中运行，用容器管理运行环境，由统一入口提供加密访问。</w:t>
            </w:r>
          </w:p>
        </w:tc>
      </w:tr>
    </w:tbl>
    <w:p w14:paraId="16A80F64">
      <w:pPr>
        <w:spacing w:after="0" w:line="60" w:lineRule="exact"/>
      </w:pPr>
    </w:p>
    <w:p w14:paraId="56637557">
      <w:pPr>
        <w:pStyle w:val="4"/>
      </w:pPr>
      <w:r>
        <w:t>为什么 App 和后台使用不同技术</w:t>
      </w:r>
    </w:p>
    <w:p w14:paraId="7CC6E687">
      <w:r>
        <w:t>手机界面需要适应触控、原生播放和设备能力；后台需要高效处理表格、筛选和批量管理。因此两端分别选用合适的工具，通过同一套接口共享数据和业务规则。后台的 React 组件不直接放进 App。</w:t>
      </w:r>
    </w:p>
    <w:p w14:paraId="1A34C18C">
      <w:r>
        <w:t>App 采用 uni-app x 的蒸汽模式，页面通过专用编译工具生成原生运行产物。网页预览用于辅助调试，手机安装包通过 HBuilderX 构建与签名，Android 和 iOS 各自保留对应的平台配置。</w:t>
      </w:r>
    </w:p>
    <w:p w14:paraId="379B2AD9">
      <w:r>
        <w:br w:type="page"/>
      </w:r>
    </w:p>
    <w:p w14:paraId="7536FD06">
      <w:pPr>
        <w:pStyle w:val="3"/>
      </w:pPr>
      <w:r>
        <w:t>2 数据如何流转和保持一致</w:t>
      </w:r>
    </w:p>
    <w:p w14:paraId="331FED60">
      <w:pPr>
        <w:pStyle w:val="4"/>
      </w:pPr>
      <w:r>
        <w:t>后端负责业务判断</w:t>
      </w:r>
    </w:p>
    <w:p w14:paraId="3B7A0716">
      <w:r>
        <w:t>App 和后台主要负责展示与操作，后端负责核实身份、判断权限、计算金额和保存结果。接口可以理解为双方约定的办事窗口：客户端提交信息，后端按统一规则处理，再返回结果。</w:t>
      </w:r>
    </w:p>
    <w:p w14:paraId="3037F327">
      <w:r>
        <w:t>例如，学员打开课程时，后端先核查课程是否可见、是否允许试听、学员是否有有效学习权限，再返回相应内容。界面上出现按钮或隐藏按钮，都不能替代后端的权限判断。</w:t>
      </w:r>
    </w:p>
    <w:p w14:paraId="05C9153F">
      <w:pPr>
        <w:pStyle w:val="4"/>
      </w:pPr>
      <w:r>
        <w:t>数据库保存哪些内容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3600"/>
        <w:gridCol w:w="4752"/>
      </w:tblGrid>
      <w:tr w14:paraId="4F1725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shd w:val="clear" w:color="auto" w:fill="E8EDF0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11458DD"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数据分组</w:t>
            </w:r>
          </w:p>
        </w:tc>
        <w:tc>
          <w:tcPr>
            <w:tcW w:w="3600" w:type="dxa"/>
            <w:shd w:val="clear" w:color="auto" w:fill="E8EDF0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6EA85D3">
            <w:pPr>
              <w:spacing w:after="0" w:line="300" w:lineRule="exact"/>
            </w:pPr>
            <w:r>
              <w:rPr>
                <w:b/>
                <w:sz w:val="20"/>
              </w:rPr>
              <w:t>主要记录</w:t>
            </w:r>
          </w:p>
        </w:tc>
        <w:tc>
          <w:tcPr>
            <w:tcW w:w="4752" w:type="dxa"/>
            <w:shd w:val="clear" w:color="auto" w:fill="E8EDF0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0517460">
            <w:pPr>
              <w:spacing w:after="0" w:line="300" w:lineRule="exact"/>
            </w:pPr>
            <w:r>
              <w:rPr>
                <w:b/>
                <w:sz w:val="20"/>
              </w:rPr>
              <w:t>关联关系</w:t>
            </w:r>
          </w:p>
        </w:tc>
      </w:tr>
      <w:tr w14:paraId="2B83B8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0D9DE0E"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账号与权限</w:t>
            </w:r>
          </w:p>
        </w:tc>
        <w:tc>
          <w:tcPr>
            <w:tcW w:w="360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EA4C739">
            <w:pPr>
              <w:spacing w:after="0" w:line="300" w:lineRule="exact"/>
            </w:pPr>
            <w:r>
              <w:rPr>
                <w:b w:val="0"/>
                <w:sz w:val="20"/>
              </w:rPr>
              <w:t>学员、工作人员、角色、登录会话</w:t>
            </w:r>
          </w:p>
        </w:tc>
        <w:tc>
          <w:tcPr>
            <w:tcW w:w="475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E078F82">
            <w:pPr>
              <w:spacing w:after="0" w:line="300" w:lineRule="exact"/>
            </w:pPr>
            <w:r>
              <w:rPr>
                <w:b w:val="0"/>
                <w:sz w:val="20"/>
              </w:rPr>
              <w:t>识别操作者，确定可以查看和处理的业务。</w:t>
            </w:r>
          </w:p>
        </w:tc>
      </w:tr>
      <w:tr w14:paraId="491A9B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7BD1ADB"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内容与学习</w:t>
            </w:r>
          </w:p>
        </w:tc>
        <w:tc>
          <w:tcPr>
            <w:tcW w:w="360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24D900B">
            <w:pPr>
              <w:spacing w:after="0" w:line="300" w:lineRule="exact"/>
            </w:pPr>
            <w:r>
              <w:rPr>
                <w:b w:val="0"/>
                <w:sz w:val="20"/>
              </w:rPr>
              <w:t>文章、名师、课程、课件、笔记与进度</w:t>
            </w:r>
          </w:p>
        </w:tc>
        <w:tc>
          <w:tcPr>
            <w:tcW w:w="475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3AD8510">
            <w:pPr>
              <w:spacing w:after="0" w:line="300" w:lineRule="exact"/>
            </w:pPr>
            <w:r>
              <w:rPr>
                <w:b w:val="0"/>
                <w:sz w:val="20"/>
              </w:rPr>
              <w:t>一门课程可关联多个课件，课件分别承载文字、音频或视频。</w:t>
            </w:r>
          </w:p>
        </w:tc>
      </w:tr>
      <w:tr w14:paraId="4EB1AAB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A50E416"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交易与权益</w:t>
            </w:r>
          </w:p>
        </w:tc>
        <w:tc>
          <w:tcPr>
            <w:tcW w:w="360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D80D852">
            <w:pPr>
              <w:spacing w:after="0" w:line="300" w:lineRule="exact"/>
            </w:pPr>
            <w:r>
              <w:rPr>
                <w:b w:val="0"/>
                <w:sz w:val="20"/>
              </w:rPr>
              <w:t>订单、支付、退款、会员和课程访问权</w:t>
            </w:r>
          </w:p>
        </w:tc>
        <w:tc>
          <w:tcPr>
            <w:tcW w:w="475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F158E49">
            <w:pPr>
              <w:spacing w:after="0" w:line="300" w:lineRule="exact"/>
            </w:pPr>
            <w:r>
              <w:rPr>
                <w:b w:val="0"/>
                <w:sz w:val="20"/>
              </w:rPr>
              <w:t>将购买来源与学习权限对应，退款按对应来源处理。</w:t>
            </w:r>
          </w:p>
        </w:tc>
      </w:tr>
      <w:tr w14:paraId="150857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5F01669"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商品与运营</w:t>
            </w:r>
          </w:p>
        </w:tc>
        <w:tc>
          <w:tcPr>
            <w:tcW w:w="360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9C2DEBD">
            <w:pPr>
              <w:spacing w:after="0" w:line="300" w:lineRule="exact"/>
            </w:pPr>
            <w:r>
              <w:rPr>
                <w:b w:val="0"/>
                <w:sz w:val="20"/>
              </w:rPr>
              <w:t>商品、库存、发货、社区、配置和操作日志</w:t>
            </w:r>
          </w:p>
        </w:tc>
        <w:tc>
          <w:tcPr>
            <w:tcW w:w="475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5D69BA0">
            <w:pPr>
              <w:spacing w:after="0" w:line="300" w:lineRule="exact"/>
            </w:pPr>
            <w:r>
              <w:rPr>
                <w:b w:val="0"/>
                <w:sz w:val="20"/>
              </w:rPr>
              <w:t>将商品订单与履约记录关联，保留关键管理操作。</w:t>
            </w:r>
          </w:p>
        </w:tc>
      </w:tr>
    </w:tbl>
    <w:p w14:paraId="194298A2">
      <w:pPr>
        <w:spacing w:after="0" w:line="60" w:lineRule="exact"/>
      </w:pPr>
    </w:p>
    <w:p w14:paraId="369579C5">
      <w:pPr>
        <w:pStyle w:val="4"/>
      </w:pPr>
      <w:r>
        <w:t>以购买课程说明技术处理过程</w:t>
      </w:r>
    </w:p>
    <w:p w14:paraId="303F6EBD">
      <w:r>
        <w:t>后端生成报价并记录购买时的课程版本、价格与规则。学员发起支付后，由支付平台返回交易信息；后端验证信息真实性并核对订单、金额和交易状态，再发放对应课程权限。手机上的支付提示用于展示，权限以服务端确认的结果为准。</w:t>
      </w:r>
    </w:p>
    <w:p w14:paraId="026120F6">
      <w:r>
        <w:t>价格用整数“分”保存。例如19.90元记为1990分，减少小数计算误差。订单保留购买时的快照，后续改价或更新课程不会直接覆盖原订单的约定。</w:t>
      </w:r>
    </w:p>
    <w:p w14:paraId="09D3FAB7">
      <w:r>
        <w:t>支付通知可能重复到达，系统用唯一交易编号识别同一笔业务，避免重复发放权益。需要一起生效的数据放在一次数据库事务中处理，可理解为“整组保存或整组不保存”，降低只改了一半的风险。</w:t>
      </w:r>
    </w:p>
    <w:p w14:paraId="3AFC2AC8">
      <w:r>
        <w:t>库存扣减也由数据库核查剩余数量，避免多人同时购买时重复卖出同一份库存。超时订单释放库存、退款和权限调整通过对应业务流程处理，不能靠后台随意修改一个状态字段替代。</w:t>
      </w:r>
    </w:p>
    <w:p w14:paraId="64966D6F">
      <w:r>
        <w:br w:type="page"/>
      </w:r>
    </w:p>
    <w:p w14:paraId="71CB5C58">
      <w:pPr>
        <w:pStyle w:val="3"/>
      </w:pPr>
      <w:r>
        <w:t>3 内容交付与安全设计</w:t>
      </w:r>
    </w:p>
    <w:p w14:paraId="5DC94E43">
      <w:pPr>
        <w:pStyle w:val="4"/>
      </w:pPr>
      <w:r>
        <w:t>文字音频视频分别处理</w:t>
      </w:r>
    </w:p>
    <w:p w14:paraId="159CAE6B">
      <w:r>
        <w:t>课程信息与课件文件分开保存。数据库记录课程名称、章节顺序、文件位置、时长和访问规则；媒体存储保存实际图片、音频与视频。这样可以更新课程编排，也便于独立管理体积较大的文件。</w:t>
      </w:r>
    </w:p>
    <w:p w14:paraId="693445BC">
      <w:r>
        <w:t>一门课程可以包含不同类型的课件：文字使用阅读组件，音频和视频使用对应播放器。阅读和播放结果与学员账号关联，用于记录学习进度，便于再次打开时继续学习。</w:t>
      </w:r>
    </w:p>
    <w:p w14:paraId="5344C36F">
      <w:r>
        <w:t>付费媒体先核查学习权限，再签发有有效期的播放凭证。服务端检查凭证是否被改动、是否过期，以及相关权限是否仍有效。播放链接不是永久公开地址；这种措施用于限制未授权访问，不能保证杜绝录屏。</w:t>
      </w:r>
    </w:p>
    <w:p w14:paraId="1D5C693F">
      <w:pPr>
        <w:pStyle w:val="4"/>
      </w:pPr>
      <w:r>
        <w:t>身份权限和私人信息保护</w:t>
      </w:r>
    </w:p>
    <w:p w14:paraId="74BDEAC5">
      <w:r>
        <w:t>登录会话用于识别当前用户，过期或被撤销的会话不能继续作为有效身份。后台按角色与具体操作分配权限，例如课程编辑、内容审核、退款处理；服务端同时检查数据归属，老师不能通过替换编号查看其他老师的私人业务。</w:t>
      </w:r>
    </w:p>
    <w:p w14:paraId="081B6AF9">
      <w:r>
        <w:t>HTTPS 保护传输过程；手机号、私人地址等敏感字段采用加密存储，后台按权限展示脱敏信息。关键管理动作记录操作者、时间和操作对象，方便追溯。日志应避免直接保存密码、验证码和私人原文。</w:t>
      </w:r>
    </w:p>
    <w:p w14:paraId="0D06D607">
      <w:r>
        <w:t>文章、课程和社区内容通过发布及审核规则控制可见范围。关键词搜索与标签推荐使用数据库匹配、内容关联和规则排序，推荐可以围绕道学主题组织，不依赖训练大型人工智能模型。</w:t>
      </w:r>
    </w:p>
    <w:p w14:paraId="01B426F5">
      <w:r>
        <w:br w:type="page"/>
      </w:r>
      <w:bookmarkStart w:id="0" w:name="_GoBack"/>
      <w:bookmarkEnd w:id="0"/>
    </w:p>
    <w:p w14:paraId="1C66E58B">
      <w:pPr>
        <w:pStyle w:val="3"/>
      </w:pPr>
      <w:r>
        <w:t>4 部署构建和日常维护方式</w:t>
      </w:r>
    </w:p>
    <w:p w14:paraId="6C0F63F9">
      <w:pPr>
        <w:pStyle w:val="4"/>
      </w:pPr>
      <w:r>
        <w:t>云服务器上的运行关系</w:t>
      </w:r>
    </w:p>
    <w:p w14:paraId="7AE3F9CF">
      <w:r>
        <w:t>后台网页文件、后端程序、数据库和媒体目录在部署时分别管理。Nginx 作为统一访问入口：网页请求返回后台页面，业务接口请求转交后端，后端再访问数据库或受控媒体。数据库不作为手机直接连接的公开接口。</w:t>
      </w:r>
    </w:p>
    <w:p w14:paraId="08417986">
      <w:r>
        <w:t>Docker 将程序和运行依赖装在相对固定的环境中，Docker Compose 描述各服务如何启动和连接。代码更新、数据库文件及媒体文件分开保存，避免更新程序时连同业务数据一起替换。</w:t>
      </w:r>
    </w:p>
    <w:p w14:paraId="63882249">
      <w:pPr>
        <w:pStyle w:val="4"/>
      </w:pPr>
      <w:r>
        <w:t>手机安装包怎样生成</w:t>
      </w:r>
    </w:p>
    <w:p w14:paraId="5D71B39B">
      <w:r>
        <w:t>App 源码交给 HBuilderX 编译，再按 Android 或 iOS 的要求生成安装包。签名用于标识应用发布者，版本号用于识别更新。开发、测试和线上接口地址通过环境配置区分，支付身份、包名及签名要保持对应。</w:t>
      </w:r>
    </w:p>
    <w:p w14:paraId="03502DF8">
      <w:r>
        <w:t>后端和后台使用 pnpm 管理依赖，分别编译为服务器程序和浏览器网页。依赖版本固定在工程中，降低不同电脑安装出不同环境的风险。数据库变更通过迁移文件执行，留下结构调整记录。</w:t>
      </w:r>
    </w:p>
    <w:p w14:paraId="49C2105D">
      <w:pPr>
        <w:pStyle w:val="4"/>
      </w:pPr>
      <w:r>
        <w:t>怎样验证和定位问题</w:t>
      </w:r>
    </w:p>
    <w:p w14:paraId="764C3016">
      <w:r>
        <w:t>自动测试检查业务规则，包括权限隔离、重复通知、库存不足、订单超时及退款等边界。后台和 App 的界面测试检查页面与接口的连接；原生设备测试检查播放、系统交互及平台支付。不同层面的测试分别验证对应问题。</w:t>
      </w:r>
    </w:p>
    <w:p w14:paraId="3AA55FE1">
      <w:r>
        <w:t>运行日志记录异常位置和相关业务编号，帮助定位失败请求；操作日志回答“谁做了什么”；交易记录回答“哪笔钱对应哪个订单”。三类记录各有用途，不能只用一张管理表代替。</w:t>
      </w:r>
    </w:p>
    <w:p w14:paraId="7989B82A">
      <w:pPr>
        <w:pStyle w:val="4"/>
      </w:pPr>
      <w:r>
        <w:t>备份与扩容的技术原则</w:t>
      </w:r>
    </w:p>
    <w:p w14:paraId="0729E0B5">
      <w:r>
        <w:t>备份包含数据库和媒体文件，校验用于确认文件完整，恢复演练用于确认备份可以重新运行。备份副本存放在另一台服务器或独立存储，才能覆盖原服务器整体故障；数据、媒体和恢复步骤应对应同一版本。</w:t>
      </w:r>
    </w:p>
    <w:p w14:paraId="44581B79">
      <w:r>
        <w:t>访问量增大时，先依据接口耗时、数据库负载和视频流量定位压力，再调整索引、资源配置或接入媒体加速。后端按业务模块组织，可以逐步扩展；不预设未经测试的承载人数。</w:t>
      </w:r>
    </w:p>
    <w:sectPr>
      <w:headerReference r:id="rId5" w:type="default"/>
      <w:footerReference r:id="rId6" w:type="default"/>
      <w:pgSz w:w="12240" w:h="15840"/>
      <w:pgMar w:top="1008" w:right="1152" w:bottom="1008" w:left="1152" w:header="432" w:footer="43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67020">
    <w:pPr>
      <w:pStyle w:val="24"/>
      <w:jc w:val="right"/>
    </w:pPr>
    <w:r>
      <w:rPr>
        <w:sz w:val="18"/>
      </w:rPr>
      <w:t xml:space="preserve">管理层阅读版  ·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A9472">
    <w:pPr>
      <w:pStyle w:val="25"/>
    </w:pPr>
    <w:r>
      <w:rPr>
        <w:color w:val="000000"/>
        <w:sz w:val="18"/>
      </w:rPr>
      <w:t>老子道学书院   技术说明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365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napToGrid w:val="0"/>
      <w:spacing w:after="140" w:line="340" w:lineRule="exact"/>
    </w:pPr>
    <w:rPr>
      <w:rFonts w:ascii="微软雅黑" w:hAnsi="微软雅黑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napToGrid w:val="0"/>
      <w:spacing w:before="240" w:after="140" w:line="420" w:lineRule="exact"/>
      <w:outlineLvl w:val="0"/>
    </w:pPr>
    <w:rPr>
      <w:rFonts w:ascii="微软雅黑" w:hAnsi="微软雅黑" w:eastAsia="微软雅黑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napToGrid w:val="0"/>
      <w:spacing w:before="240" w:after="140" w:line="340" w:lineRule="exact"/>
      <w:outlineLvl w:val="1"/>
    </w:pPr>
    <w:rPr>
      <w:rFonts w:ascii="微软雅黑" w:hAnsi="微软雅黑" w:eastAsia="微软雅黑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napToGrid w:val="0"/>
      <w:spacing w:after="180" w:line="600" w:lineRule="exact"/>
      <w:contextualSpacing/>
    </w:pPr>
    <w:rPr>
      <w:rFonts w:ascii="微软雅黑" w:hAnsi="微软雅黑" w:eastAsia="微软雅黑"/>
      <w:b/>
      <w:color w:val="000000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2920</Words>
  <Characters>3200</Characters>
  <Lines>0</Lines>
  <Paragraphs>0</Paragraphs>
  <TotalTime>1</TotalTime>
  <ScaleCrop>false</ScaleCrop>
  <LinksUpToDate>false</LinksUpToDate>
  <CharactersWithSpaces>3287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道学书院项目</dc:creator>
  <dc:description>generated by python-docx</dc:description>
  <cp:lastModifiedBy>张芷赫</cp:lastModifiedBy>
  <dcterms:modified xsi:type="dcterms:W3CDTF">2026-10-12T03:13:57Z</dcterms:modified>
  <dc:subject>管理层阅读版 技术架构 选型 数据处理 内容交付 安全与部署</dc:subject>
  <dc:title>老子道学书院技术说明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eyJoZGlkIjoiM2RmYjQ4ODc4ZGE1OTQ2NmUxODM1MWQ4NzJlMWY3ODIiLCJ1c2VySWQiOiIxNzc0MzgzMDM0In0=</vt:lpwstr>
  </property>
  <property fmtid="{D5CDD505-2E9C-101B-9397-08002B2CF9AE}" pid="3" name="KSOProductBuildVer">
    <vt:lpwstr>2052-12.1.0.28505</vt:lpwstr>
  </property>
  <property fmtid="{D5CDD505-2E9C-101B-9397-08002B2CF9AE}" pid="4" name="ICV">
    <vt:lpwstr>46DBFFE216354E07AF643FB1D513B537_12</vt:lpwstr>
  </property>
</Properties>
</file>