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老子道学书院技术说明</w:t>
      </w:r>
    </w:p>
    <w:p>
      <w:r>
        <w:t>管理层阅读版  |  2026年10月11日</w:t>
      </w:r>
    </w:p>
    <w:p>
      <w:r>
        <w:t>本项目建设面向学员的手机 App 和面向工作人员的运营后台，用于传播道学文化、售卖课程、组织学习实践，并管理会员、商品及活动。本说明帮助管理层了解系统如何工作、现阶段能用到什么程度，以及正式经营前还需要完成什么。</w:t>
      </w:r>
    </w:p>
    <w:p>
      <w:r>
        <w:rPr>
          <w:b/>
        </w:rPr>
        <w:t>当前结论：</w:t>
      </w:r>
      <w:r>
        <w:t>后台和数据服务已上线，Android 0.3.4 安装包已生成，可用于预览和内测。正式短信、真实收退款及 iOS 完整验收尚未完成，整个项目目前不能按已完成商用交付来认定。</w:t>
      </w:r>
    </w:p>
    <w:p>
      <w:pPr>
        <w:pStyle w:val="Heading1"/>
      </w:pPr>
      <w:r>
        <w:t>1 系统由哪些部分组成</w:t>
      </w:r>
    </w:p>
    <w:p>
      <w:r>
        <w:t>可以把系统理解为一所线上书院：App 是学员入口，后台是工作人员的办公台，后端是处理业务的中枢，数据库是保存记录的账本。App 和后台共用同一套业务规则和数据，工作人员的修改按发布状态展示给学员。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168"/>
        <w:gridCol w:w="5328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组成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主要作用</w:t>
            </w:r>
          </w:p>
        </w:tc>
        <w:tc>
          <w:tcPr>
            <w:tcW w:type="dxa" w:w="53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采用的技术与原因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手机 App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阅读、听课、看视频、购买、学习及交流</w:t>
            </w:r>
          </w:p>
        </w:tc>
        <w:tc>
          <w:tcPr>
            <w:tcW w:type="dxa" w:w="53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uni-app x 与 Vue 3：尽量复用 Android 和 iOS 的开发工作；两个平台仍需分别验证。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运营后台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发布内容、管理学员、课程、订单及售后</w:t>
            </w:r>
          </w:p>
        </w:tc>
        <w:tc>
          <w:tcPr>
            <w:tcW w:type="dxa" w:w="53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Ant Design Pro 官方模板二次开发：沿用成熟管理界面，再补书院业务。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后端服务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验证身份、计算订单、发放权益、处理售后</w:t>
            </w:r>
          </w:p>
        </w:tc>
        <w:tc>
          <w:tcPr>
            <w:tcW w:type="dxa" w:w="53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NestJS 与 TypeScript：按业务模块组织，便于继续开发和维护。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数据库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保存用户、课程、订单、库存及操作记录</w:t>
            </w:r>
          </w:p>
        </w:tc>
        <w:tc>
          <w:tcPr>
            <w:tcW w:type="dxa" w:w="532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PostgreSQL 与 Prisma：管理关联数据，降低订单与权益记录不一致的风险。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t>技术选择对经营有什么影响</w:t>
      </w:r>
    </w:p>
    <w:p>
      <w:r>
        <w:t>这套方案支持内容、学习和交易共用一个系统，减少重复录入。当前采用一套按模块组织的后端，便于维护；后续应根据实际访问量扩容。使用现成框架可以提高开发效率，业务功能、手机体验和交易可靠性仍要逐项验收。</w:t>
      </w:r>
    </w:p>
    <w:p>
      <w:r>
        <w:t>界面继续沿用已确定的书院版式，以米白、墨青、清晰正文和适度宋体标题为基础，辅以淡山水背景与少量印章元素。优化重点是可读、易操作和风格统一。</w:t>
      </w:r>
    </w:p>
    <w:p>
      <w:r>
        <w:br w:type="page"/>
      </w:r>
    </w:p>
    <w:p>
      <w:pPr>
        <w:pStyle w:val="Heading1"/>
      </w:pPr>
      <w:r>
        <w:t>2 业务覆盖到什么程度</w:t>
      </w:r>
    </w:p>
    <w:p>
      <w:r>
        <w:t>以下“已有基础”表示存在可操作页面或业务实现，并有相应测试记录；还需满足右列条件，才能认定完整商用。原始策划的七个板块均保留，咨询与活动也在项目范围内。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176"/>
        <w:gridCol w:w="4320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板块</w:t>
            </w:r>
          </w:p>
        </w:tc>
        <w:tc>
          <w:tcPr>
            <w:tcW w:type="dxa" w:w="41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已有基础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正式经营仍需补齐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文章经典</w:t>
            </w:r>
          </w:p>
        </w:tc>
        <w:tc>
          <w:tcPr>
            <w:tcW w:type="dxa" w:w="41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阅读、搜索、收藏、笔记、评论及标签推荐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真实内容与授权资料；部分原生阅读操作及跨板块联动验收。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课程学堂</w:t>
            </w:r>
          </w:p>
        </w:tc>
        <w:tc>
          <w:tcPr>
            <w:tcW w:type="dxa" w:w="41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文字、音频、视频混合课程；进度、作业、订单及退款基础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云视频交付、真实支付、双端购课与退款完整验收。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名师</w:t>
            </w:r>
          </w:p>
        </w:tc>
        <w:tc>
          <w:tcPr>
            <w:tcW w:type="dxa" w:w="41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师资介绍、关联课程、教学问答及点评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真实师资证明、咨询预约、服务交付与售后流程。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直播</w:t>
            </w:r>
          </w:p>
        </w:tc>
        <w:tc>
          <w:tcPr>
            <w:tcW w:type="dxa" w:w="41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直播内容展示及管理基础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正式直播接入、观看准入、提醒、回放与实际运营。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商城</w:t>
            </w:r>
          </w:p>
        </w:tc>
        <w:tc>
          <w:tcPr>
            <w:tcW w:type="dxa" w:w="41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购物车、地址、库存、实物订单、发货、签收与退换货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会员优惠、服务预约、数字资料交付及真实履约验收。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社区</w:t>
            </w:r>
          </w:p>
        </w:tc>
        <w:tc>
          <w:tcPr>
            <w:tcW w:type="dxa" w:w="41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发帖、评论、举报及审核基础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增强互动、持续审核及社区运营安排。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会员成长</w:t>
            </w:r>
          </w:p>
        </w:tc>
        <w:tc>
          <w:tcPr>
            <w:tcW w:type="dxa" w:w="41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套餐、期限、续期、权限、权益用量及部分退款规则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部分消费退款、优惠免邮、积分兑换和真实渠道验收。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t>重点是课程售卖的完整过程</w:t>
      </w:r>
    </w:p>
    <w:p>
      <w:r>
        <w:t>学员看清课程内容与购买说明 → 提交订单 → 支付渠道确认收款 → 系统发放学习权限 → 学员学习并记录进度 → 按规则处理售后。每一步都要能追查，付款失败不能开通课程，退款完成后也要同步调整学习权限。</w:t>
      </w:r>
    </w:p>
    <w:p>
      <w:r>
        <w:t>课程与订单的主要服务端逻辑已有实现，但真实收款开关仍关闭。当前样例订单和自动测试，不能证明已发生真实支付。Android 支付、Apple 内购和退款必须完成渠道及手机端验证后，才能用于实际收费。</w:t>
      </w:r>
    </w:p>
    <w:p>
      <w:r>
        <w:rPr>
          <w:b/>
        </w:rPr>
        <w:t>商用验收进度：</w:t>
      </w:r>
      <w:r>
        <w:t>按原始131项软件要求统计，目前38项已有通过证据，约29%。这个比例衡量的是完整商用验收，不能用页面数量、代码量或测试通过数替代。</w:t>
      </w:r>
    </w:p>
    <w:p>
      <w:r>
        <w:br w:type="page"/>
      </w:r>
    </w:p>
    <w:p>
      <w:pPr>
        <w:pStyle w:val="Heading1"/>
      </w:pPr>
      <w:r>
        <w:t>3 系统如何运行和维护</w:t>
      </w:r>
    </w:p>
    <w:p>
      <w:pPr>
        <w:pStyle w:val="Heading2"/>
      </w:pPr>
      <w:r>
        <w:t>线上运行与访问</w:t>
      </w:r>
    </w:p>
    <w:p>
      <w:r>
        <w:t>后端和运营后台已部署在 Ubuntu 云服务器，通过 HTTPS 加密连接。手机 App 可以直接连接线上服务，无需依赖开发电脑。当前使用预览域名；正式发布前建议换成书院自有域名，并落实域名、证书及服务器的续费责任。</w:t>
      </w:r>
    </w:p>
    <w:p>
      <w:r>
        <w:t>部署采用 Docker Compose 和 Nginx，可以理解为把应用整理成便于发布的运行单元，再统一提供访问入口。书院服务和数据独立配置，但目前服务器与其他项目共用，尚无高可用或具体承载人数的验收结论。</w:t>
      </w:r>
    </w:p>
    <w:p>
      <w:pPr>
        <w:pStyle w:val="Heading2"/>
      </w:pPr>
      <w:r>
        <w:t>权限和数据保护</w:t>
      </w:r>
    </w:p>
    <w:p>
      <w:r>
        <w:t>后台已有账号、角色、菜单与接口权限、系统配置、数据概览和操作日志。可以按运营、审核、财务、仓储等岗位分工。权限由服务端检查，学员只能操作自己的数据；关键操作留下记录，方便追查谁在何时改了什么。</w:t>
      </w:r>
    </w:p>
    <w:p>
      <w:r>
        <w:t>手机号、地址等敏感信息已有加密和后台脱敏措施；课程访问由后端核验权限。目前媒体已有受控访问基础，正式云视频、手机安全会话存储及完整运营权限复核仍需验收。对外材料不应附带管理密码、服务器口令或签名私钥。</w:t>
      </w:r>
    </w:p>
    <w:p>
      <w:pPr>
        <w:pStyle w:val="Heading2"/>
      </w:pPr>
      <w:r>
        <w:t>备份与故障处理</w:t>
      </w:r>
    </w:p>
    <w:p>
      <w:r>
        <w:t>已配置数据库和媒体每日备份，并验证过备份文件与校验结果。备份目前保存在同一台服务器，整机损坏时仍可能一起丢失；异地备份和完整恢复演练尚未完成。正式运营前还需补充故障告警、值守联系人和恢复步骤。</w:t>
      </w:r>
    </w:p>
    <w:p>
      <w:r>
        <w:t>后续版本发布应先备份、再验证、保留发布记录。出现故障时，按数据兼容情况决定恢复旧版本或修复当前版本，避免回退程序后影响新订单。</w:t>
      </w:r>
    </w:p>
    <w:p>
      <w:pPr>
        <w:pStyle w:val="Heading2"/>
      </w:pPr>
      <w:r>
        <w:t>持续费用主要来自哪里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064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费用类型</w:t>
            </w:r>
          </w:p>
        </w:tc>
        <w:tc>
          <w:tcPr>
            <w:tcW w:type="dxa" w:w="806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主要影响因素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基础运行</w:t>
            </w:r>
          </w:p>
        </w:tc>
        <w:tc>
          <w:tcPr>
            <w:tcW w:type="dxa" w:w="806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服务器、正式域名及日常维护投入。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按使用量产生</w:t>
            </w:r>
          </w:p>
        </w:tc>
        <w:tc>
          <w:tcPr>
            <w:tcW w:type="dxa" w:w="806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视频存储与观看流量、转码、直播时长与人数、短信条数。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交易与运营</w:t>
            </w:r>
          </w:p>
        </w:tc>
        <w:tc>
          <w:tcPr>
            <w:tcW w:type="dxa" w:w="806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支付渠道费用，以及内容审核、客服、发货与财务人员投入。</w:t>
            </w:r>
          </w:p>
        </w:tc>
      </w:tr>
    </w:tbl>
    <w:p>
      <w:pPr>
        <w:spacing w:after="0" w:line="60" w:lineRule="exact"/>
      </w:pPr>
    </w:p>
    <w:p>
      <w:r>
        <w:t>目前没有经确认的完整报价。建议先按预期学员数、观看时长、同时在线人数和订单量做预算，再用小规模试运营的真实用量调整，避免给出缺乏依据的固定费用。</w:t>
      </w:r>
    </w:p>
    <w:p>
      <w:r>
        <w:br w:type="page"/>
      </w:r>
    </w:p>
    <w:p>
      <w:pPr>
        <w:pStyle w:val="Heading1"/>
      </w:pPr>
      <w:r>
        <w:t>4 正式发布前的安排</w:t>
      </w:r>
    </w:p>
    <w:p>
      <w:r>
        <w:t>建议优先完成视频音频课程售卖，先让“买课、上课、退款”在真实渠道下可靠运行，再扩大其他经营范围。基础正式版完成后，还要继续补齐原始策划中的增强功能；AI、虚拟名师和线上道场属于后续展望。</w:t>
      </w:r>
    </w:p>
    <w:p>
      <w:pPr>
        <w:pStyle w:val="Heading2"/>
      </w:pPr>
      <w:r>
        <w:t>开发侧的推进顺序</w:t>
      </w:r>
    </w:p>
    <w:p>
      <w:r>
        <w:t>第一步，补正式短信、Android 支付、Apple 内购和云视频，完成真实购买、播放、恢复购买及退款验证。这些接入需要书院提供有效服务账号和商户资料。</w:t>
      </w:r>
    </w:p>
    <w:p>
      <w:r>
        <w:t>第二步，继续补齐会员优惠与退款规则、商城服务与数字资料交付、咨询活动预约及直播流程，并完善财务对账和结算，确保后台能处理实际经营中的例外情况。</w:t>
      </w:r>
    </w:p>
    <w:p>
      <w:r>
        <w:t>第三步，完成 Android 与 iOS 发布验收，补异地恢复、监控告警、隐私与应用发布资料，再组织目标用户试用。所有阻塞和验收证据继续记录在现有开发计划中。</w:t>
      </w:r>
    </w:p>
    <w:p>
      <w:pPr>
        <w:pStyle w:val="Heading2"/>
      </w:pPr>
      <w:r>
        <w:t>书院需要配合准备什么</w:t>
      </w:r>
    </w:p>
    <w:p>
      <w:r>
        <w:t>内容与师资：提供可发布的课程、经典注释、老师资料及授权证明；明确课程价格、售后规则和教学服务负责人。</w:t>
      </w:r>
    </w:p>
    <w:p>
      <w:r>
        <w:t>经营与履约：明确真实商品、库存、发货、退换货、咨询时段、活动席位和直播安排；确定客服、审核及财务人员。</w:t>
      </w:r>
    </w:p>
    <w:p>
      <w:r>
        <w:t>账号与资源：准备短信、支付、云视频及应用发布所需账号资料，明确费用承担、账号归属和正式域名。具体开通以各平台审核结果为准。</w:t>
      </w:r>
    </w:p>
    <w:p>
      <w:pPr>
        <w:pStyle w:val="Heading2"/>
      </w:pPr>
      <w:r>
        <w:t>代码和后续交接</w:t>
      </w:r>
    </w:p>
    <w:p>
      <w:r>
        <w:t>本地项目位于 C:\Users\l6658\Documents\ChatGPT\道学书院。交接应同时包含代码、数据库变更、部署配置、操作说明和验收记录；账号及密钥单独安全交接。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76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交接内容</w:t>
            </w:r>
          </w:p>
        </w:tc>
        <w:tc>
          <w:tcPr>
            <w:tcW w:type="dxa" w:w="77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项目内位置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App / 运营后台</w:t>
            </w:r>
          </w:p>
        </w:tc>
        <w:tc>
          <w:tcPr>
            <w:tcW w:type="dxa" w:w="77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apps/mobile / apps/admin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后端 / 数据库设计</w:t>
            </w:r>
          </w:p>
        </w:tc>
        <w:tc>
          <w:tcPr>
            <w:tcW w:type="dxa" w:w="77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services/api / services/api/prisma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部署 / 文档与计划</w:t>
            </w:r>
          </w:p>
        </w:tc>
        <w:tc>
          <w:tcPr>
            <w:tcW w:type="dxa" w:w="77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infra / docs；剩余任务见 docs/26-remaining-development-plan.md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t>本说明的依据</w:t>
      </w:r>
    </w:p>
    <w:p>
      <w:r>
        <w:rPr>
          <w:sz w:val="18"/>
        </w:rPr>
        <w:t>依据项目产品需求、技术选型、线上部署记录、剩余开发计划及最新商城与安装包交付记录整理（docs/01、02、24、26、33、34）。状态截至2026年10月11日已有记录；后续进展以实际验收证据更新。本次未重新开展全项目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管理层阅读版  ·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老子道学书院   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40" w:lineRule="exact" w:after="140"/>
    </w:pPr>
    <w:rPr>
      <w:rFonts w:ascii="Microsoft YaHei" w:hAnsi="Microsoft YaHe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20" w:lineRule="exact"/>
      <w:outlineLvl w:val="0"/>
      <w:snapToGrid w:val="0"/>
    </w:pPr>
    <w:rPr>
      <w:rFonts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40" w:lineRule="exact"/>
      <w:outlineLvl w:val="1"/>
      <w:snapToGrid w:val="0"/>
    </w:pPr>
    <w:rPr>
      <w:rFonts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00" w:lineRule="exact"/>
      <w:contextualSpacing/>
      <w:snapToGrid w:val="0"/>
    </w:pPr>
    <w:rPr>
      <w:rFonts w:ascii="Microsoft YaHei" w:hAnsi="Microsoft YaHe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老子道学书院技术说明</dc:title>
  <dc:subject>管理层阅读版 系统组成 业务能力 运行维护与正式发布条件</dc:subject>
  <dc:creator>道学书院项目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