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Defining the Health Benefits Package in Senegal — Results Note (Dry Run, v5)</w:t>
      </w:r>
    </w:p>
    <w:p>
      <w:pPr>
        <w:pStyle w:val="Heading1"/>
      </w:pPr>
      <w:r>
        <w:t>Abstract</w:t>
      </w:r>
    </w:p>
    <w:p>
      <w:pPr>
        <w:pStyle w:val="FirstParagraph"/>
      </w:pPr>
      <w:r>
        <w:t>We present the first end-to-end run of the cost-effectiveness ranking method for Senegal’s health benefits package (HBP), applied to the OneHealth Tool (OHT) intervention list linked to Senegal’s 2023 Global Burden of Disease (GBD) causes.</w:t>
      </w:r>
    </w:p>
    <w:p>
      <w:pPr>
        <w:pStyle w:val="BodyText"/>
      </w:pPr>
      <w: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pPr>
      <w:r>
        <w:t xml:space="preserve">At a cost-effectiveness threshold (CET) of $485 per DALY averted — the Senegal-specific reference value confirmed for this run — 86 of the 95 league table interventions have an incremental cost-effectiveness ratio (ICER) at or below the threshold. The remaining 9 (7 above threshold, 2 with an undefined ICER) stay visible in the league table, flagged rather than removed.</w:t>
      </w:r>
    </w:p>
    <w:p>
      <w:pPr>
        <w:pStyle w:val="BodyText"/>
      </w:pPr>
      <w:r>
        <w:t>We run a first constrained optimization, using a provisional $120 million consumables budget as the only constraint, retaining 76 of the 86 cost-effective interventions while using 100% of that budget, with net DALYs averted essentially unchanged (70.9 million vs 71.0 million) relative to no budget constraint at all. An additional illustrative run, using health-workforce time and capacity figures from the published literature as a stand-in for Senegal-specific data, shows pharmaceutical and mental-health staff time — not the budget — as the binding constraint (Section 3.2).</w:t>
      </w:r>
    </w:p>
    <w:p>
      <w:pPr>
        <w:pStyle w:val="BodyText"/>
      </w:pPr>
      <w:r>
        <w:t xml:space="preserve">Applying the same threshold to a distributional cost-effectiveness analysis (DCEA), the package raises net health benefit in every wealth quintile and in both urban and rural areas. Net benefit is lowest in the poorest quintile (10.0 million DALYs, full implementation) and highest in the fourth quintile (19.3 million DALYs). An Atkinson inequality index (aversion parameter ε=10) records a 9.5 million DALY-equivalent widening of wealth-quintile inequality against a 9.5 million DALY-equivalent narrowing of urban/rural inequality.</w:t>
      </w:r>
    </w:p>
    <w:p>
      <w:pPr>
        <w:pStyle w:val="BodyText"/>
      </w:pPr>
      <w:r>
        <w:t>We confirm four items for this run, open to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constrained optimization ($120 million, Section 3.2).</w:t>
      </w:r>
    </w:p>
    <w:p>
      <w:pPr>
        <w:pStyle w:val="Heading1"/>
      </w:pPr>
      <w:r>
        <w:t>1. Introduction</w:t>
      </w:r>
    </w:p>
    <w:p>
      <w:pPr>
        <w:pStyle w:val="FirstParagraph"/>
      </w:pPr>
      <w:r>
        <w:t>Senegal's Ministry of Health and Social Action (MSAS) is defining a national health benefits package (HBP) to guide priority-setting under resource constraints. We apply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t>1.1 Demographic and health status profile</w:t>
      </w:r>
    </w:p>
    <w:p>
      <w:pPr>
        <w:pStyle w:val="FirstParagraph"/>
      </w:pPr>
      <w:r>
        <w:t xml:space="preserve">Senegal’s resident population reached 18,126,390 in 2023, growing 2.9% per year over the preceding decade.</w:t>
      </w:r>
      <w:r>
        <w:rPr>
          <w:rStyle w:val="FootnoteReference"/>
        </w:rPr>
        <w:footnoteReference w:id="21"/>
      </w:r>
      <w: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pPr>
      <w:r>
        <w:t xml:space="preserve">Maternal and child mortality remained high in Senegal (Continuous Demographic and Health Survey [EDS-Continue] 2023).</w:t>
      </w:r>
      <w:r>
        <w:rPr>
          <w:rStyle w:val="FootnoteReference"/>
        </w:rPr>
        <w:footnoteReference w:id="22"/>
      </w:r>
      <w: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BodyText"/>
      </w:pPr>
      <w: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pPr>
      <w:r>
        <w:rPr>
          <w:iCs/>
          <w:i/>
        </w:rPr>
        <w:t xml:space="preserve">Source: ANDS, Continuous DHS, Senegal, 2023.</w:t>
      </w:r>
    </w:p>
    <w:p>
      <w:pPr>
        <w:pStyle w:val="Heading2"/>
      </w:pPr>
      <w:r>
        <w:t>1.2 Health system priorities</w:t>
      </w:r>
    </w:p>
    <w:p>
      <w:pPr>
        <w:pStyle w:val="FirstParagraph"/>
      </w:pPr>
      <w:r>
        <w:t xml:space="preserve">Senegal counted 114 health centres, 1,584 health posts, and 2,197 health huts, a stock reported as below World Health Organization facility-density norms.</w:t>
      </w:r>
      <w:r>
        <w:rPr>
          <w:rStyle w:val="FootnoteReference"/>
        </w:rPr>
        <w:footnoteReference w:id="32"/>
      </w:r>
      <w: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Pr>
        <w:footnoteReference w:id="33"/>
      </w:r>
      <w:r>
        <w:t xml:space="preserve"> Senegal reported approximately 0.7 doctors per 10,000 inhabitants in 2022, against a regional average of 1.5. Nurses, midwives, and specialists are similarly constrained.</w:t>
      </w:r>
    </w:p>
    <w:p>
      <w:pPr>
        <w:pStyle w:val="BodyText"/>
      </w:pPr>
      <w: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Pr>
        <w:footnoteReference w:id="34"/>
      </w:r>
      <w: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t>2. Methodology and data</w:t>
      </w:r>
    </w:p>
    <w:p>
      <w:pPr>
        <w:pStyle w:val="Heading2"/>
      </w:pPr>
      <w:r>
        <w:t>2.1 Data sources</w:t>
      </w:r>
    </w:p>
    <w:p>
      <w:pPr>
        <w:pStyle w:val="Heading3"/>
      </w:pPr>
      <w:r>
        <w:t>2.1.1 Disease burden</w:t>
      </w:r>
    </w:p>
    <w:p>
      <w:pPr>
        <w:pStyle w:val="FirstParagraph"/>
      </w:pPr>
      <w:r>
        <w:t xml:space="preserve">Disease burden for Senegal, drawn from the GBD cause hierarchy, totals 6.8 million DALYs.</w:t>
      </w:r>
      <w:r>
        <w:rPr>
          <w:rStyle w:val="FootnoteReference"/>
        </w:rPr>
        <w:footnoteReference w:id="24"/>
      </w:r>
      <w:r>
        <w:t xml:space="preserve"> At Level 1, the burden is split among communicable, maternal, neonatal, and nutritional diseases (CMNN, 46%), non-communicable diseases (NCD, 44%), and injuries (10%). The 20 leading Level-3 causes (Table 1) account for 63% of all DALYs.</w:t>
      </w:r>
    </w:p>
    <w:p>
      <w:pPr>
        <w:pStyle w:val="BodyText"/>
      </w:pPr>
      <w: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pPr>
      <w:r>
        <w:t xml:space="preserve">NCDs contribute 18.4% of the top-20 burden, led by stroke (3.9%), congenital birth defects (3.3%), and a combined 3.9% for anxiety and depressive disorders. Road injuries and drowning together add 4.5%.</w:t>
      </w:r>
    </w:p>
    <w:p>
      <w:pPr>
        <w:pStyle w:val="BodyText"/>
      </w:pPr>
      <w:r>
        <w:rPr>
          <w:bCs/>
          <w:b/>
        </w:rPr>
        <w:t>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tcBorders>
              <w:top w:val="single" w:sz="8" w:space="0" w:color="000000"/>
              <w:bottom w:val="single" w:sz="8" w:space="0" w:color="000000"/>
            </w:tcBorders>
          </w:tcPr>
          <w:p>
            <w:pPr>
              <w:pStyle w:val="Compact"/>
              <w:jc w:val="left"/>
            </w:pPr>
            <w:r>
              <w:rPr>
                <w:b/>
                <w:color w:val="000066"/>
              </w:rPr>
              <w:t xml:space="preserve">Category (Level 1 GBD)</w:t>
            </w:r>
          </w:p>
        </w:tc>
        <w:tc>
          <w:tcPr>
            <w:tcBorders>
              <w:top w:val="single" w:sz="8" w:space="0" w:color="000000"/>
              <w:bottom w:val="single" w:sz="8" w:space="0" w:color="000000"/>
            </w:tcBorders>
          </w:tcPr>
          <w:p>
            <w:pPr>
              <w:pStyle w:val="Compact"/>
              <w:jc w:val="left"/>
            </w:pPr>
            <w:r>
              <w:rPr>
                <w:b/>
                <w:color w:val="000066"/>
              </w:rPr>
              <w:t xml:space="preserve">Cause (Level 3 GBD)</w:t>
            </w:r>
          </w:p>
        </w:tc>
        <w:tc>
          <w:tcPr>
            <w:tcBorders>
              <w:top w:val="single" w:sz="8" w:space="0" w:color="000000"/>
              <w:bottom w:val="single" w:sz="8" w:space="0" w:color="000000"/>
            </w:tcBorders>
          </w:tcPr>
          <w:p>
            <w:pPr>
              <w:pStyle w:val="Compact"/>
              <w:jc w:val="right"/>
            </w:pPr>
            <w:r>
              <w:rPr>
                <w:b/>
                <w:color w:val="000066"/>
              </w:rPr>
              <w:t xml:space="preserve">% of total DALYs</w:t>
            </w:r>
          </w:p>
        </w:tc>
        <w:tc>
          <w:tcPr>
            <w:tcBorders>
              <w:top w:val="single" w:sz="8" w:space="0" w:color="000000"/>
              <w:bottom w:val="single" w:sz="8" w:space="0" w:color="000000"/>
            </w:tcBorders>
          </w:tcPr>
          <w:p>
            <w:pPr>
              <w:pStyle w:val="Compact"/>
              <w:jc w:val="right"/>
            </w:pPr>
            <w:r>
              <w:rPr>
                <w:b/>
                <w:color w:val="000066"/>
              </w:rPr>
              <w:t xml:space="preserve">Cumulative %</w:t>
            </w:r>
          </w:p>
        </w:tc>
      </w:tr>
      <w:tr>
        <w:tc>
          <w:tcPr/>
          <w:p>
            <w:pPr>
              <w:pStyle w:val="Compact"/>
              <w:jc w:val="left"/>
            </w:pPr>
            <w:r>
              <w:t xml:space="preserve">Communicable, maternal, neonatal, nutritional</w:t>
            </w:r>
          </w:p>
        </w:tc>
        <w:tc>
          <w:tcPr/>
          <w:p>
            <w:pPr>
              <w:pStyle w:val="Compact"/>
              <w:jc w:val="left"/>
            </w:pPr>
            <w:r>
              <w:t xml:space="preserve">Neonatal disorders</w:t>
            </w:r>
          </w:p>
        </w:tc>
        <w:tc>
          <w:tcPr/>
          <w:p>
            <w:pPr>
              <w:pStyle w:val="Compact"/>
              <w:jc w:val="right"/>
            </w:pPr>
            <w:r>
              <w:t xml:space="preserve">16.2</w:t>
            </w:r>
          </w:p>
        </w:tc>
        <w:tc>
          <w:tcPr/>
          <w:p>
            <w:pPr>
              <w:pStyle w:val="Compact"/>
              <w:jc w:val="right"/>
            </w:pPr>
            <w:r>
              <w:t xml:space="preserve">16.2</w:t>
            </w:r>
          </w:p>
        </w:tc>
      </w:tr>
      <w:tr>
        <w:tc>
          <w:tcPr/>
          <w:p>
            <w:pPr>
              <w:pStyle w:val="Compact"/>
              <w:jc w:val="left"/>
            </w:pPr>
            <w:r>
              <w:t xml:space="preserve">Communicable, maternal, neonatal, nutritional</w:t>
            </w:r>
          </w:p>
        </w:tc>
        <w:tc>
          <w:tcPr/>
          <w:p>
            <w:pPr>
              <w:pStyle w:val="Compact"/>
              <w:jc w:val="left"/>
            </w:pPr>
            <w:r>
              <w:t xml:space="preserve">Lower respiratory infections</w:t>
            </w:r>
          </w:p>
        </w:tc>
        <w:tc>
          <w:tcPr/>
          <w:p>
            <w:pPr>
              <w:pStyle w:val="Compact"/>
              <w:jc w:val="right"/>
            </w:pPr>
            <w:r>
              <w:t xml:space="preserve">4.4</w:t>
            </w:r>
          </w:p>
        </w:tc>
        <w:tc>
          <w:tcPr/>
          <w:p>
            <w:pPr>
              <w:pStyle w:val="Compact"/>
              <w:jc w:val="right"/>
            </w:pPr>
            <w:r>
              <w:t xml:space="preserve">20.6</w:t>
            </w:r>
          </w:p>
        </w:tc>
      </w:tr>
      <w:tr>
        <w:tc>
          <w:tcPr/>
          <w:p>
            <w:pPr>
              <w:pStyle w:val="Compact"/>
              <w:jc w:val="left"/>
            </w:pPr>
            <w:r>
              <w:t xml:space="preserve">Communicable, maternal, neonatal, nutritional</w:t>
            </w:r>
          </w:p>
        </w:tc>
        <w:tc>
          <w:tcPr/>
          <w:p>
            <w:pPr>
              <w:pStyle w:val="Compact"/>
              <w:jc w:val="left"/>
            </w:pPr>
            <w:r>
              <w:t xml:space="preserve">Malaria</w:t>
            </w:r>
          </w:p>
        </w:tc>
        <w:tc>
          <w:tcPr/>
          <w:p>
            <w:pPr>
              <w:pStyle w:val="Compact"/>
              <w:jc w:val="right"/>
            </w:pPr>
            <w:r>
              <w:t xml:space="preserve">3.6</w:t>
            </w:r>
          </w:p>
        </w:tc>
        <w:tc>
          <w:tcPr/>
          <w:p>
            <w:pPr>
              <w:pStyle w:val="Compact"/>
              <w:jc w:val="right"/>
            </w:pPr>
            <w:r>
              <w:t xml:space="preserve">24.2</w:t>
            </w:r>
          </w:p>
        </w:tc>
      </w:tr>
      <w:tr>
        <w:tc>
          <w:tcPr/>
          <w:p>
            <w:pPr>
              <w:pStyle w:val="Compact"/>
              <w:jc w:val="left"/>
            </w:pPr>
            <w:r>
              <w:t xml:space="preserve">Communicable, maternal, neonatal, nutritional</w:t>
            </w:r>
          </w:p>
        </w:tc>
        <w:tc>
          <w:tcPr/>
          <w:p>
            <w:pPr>
              <w:pStyle w:val="Compact"/>
              <w:jc w:val="left"/>
            </w:pPr>
            <w:r>
              <w:t xml:space="preserve">Diarrheal diseases</w:t>
            </w:r>
          </w:p>
        </w:tc>
        <w:tc>
          <w:tcPr/>
          <w:p>
            <w:pPr>
              <w:pStyle w:val="Compact"/>
              <w:jc w:val="right"/>
            </w:pPr>
            <w:r>
              <w:t xml:space="preserve">3.4</w:t>
            </w:r>
          </w:p>
        </w:tc>
        <w:tc>
          <w:tcPr/>
          <w:p>
            <w:pPr>
              <w:pStyle w:val="Compact"/>
              <w:jc w:val="right"/>
            </w:pPr>
            <w:r>
              <w:t xml:space="preserve">27.6</w:t>
            </w:r>
          </w:p>
        </w:tc>
      </w:tr>
      <w:tr>
        <w:tc>
          <w:tcPr/>
          <w:p>
            <w:pPr>
              <w:pStyle w:val="Compact"/>
              <w:jc w:val="left"/>
            </w:pPr>
            <w:r>
              <w:t xml:space="preserve">Communicable, maternal, neonatal, nutritional</w:t>
            </w:r>
          </w:p>
        </w:tc>
        <w:tc>
          <w:tcPr/>
          <w:p>
            <w:pPr>
              <w:pStyle w:val="Compact"/>
              <w:jc w:val="left"/>
            </w:pPr>
            <w:r>
              <w:t xml:space="preserve">Dietary iron deficiency</w:t>
            </w:r>
          </w:p>
        </w:tc>
        <w:tc>
          <w:tcPr/>
          <w:p>
            <w:pPr>
              <w:pStyle w:val="Compact"/>
              <w:jc w:val="right"/>
            </w:pPr>
            <w:r>
              <w:t xml:space="preserve">2.8</w:t>
            </w:r>
          </w:p>
        </w:tc>
        <w:tc>
          <w:tcPr/>
          <w:p>
            <w:pPr>
              <w:pStyle w:val="Compact"/>
              <w:jc w:val="right"/>
            </w:pPr>
            <w:r>
              <w:t xml:space="preserve">30.4</w:t>
            </w:r>
          </w:p>
        </w:tc>
      </w:tr>
      <w:tr>
        <w:tc>
          <w:tcPr/>
          <w:p>
            <w:pPr>
              <w:pStyle w:val="Compact"/>
              <w:jc w:val="left"/>
            </w:pPr>
            <w:r>
              <w:t xml:space="preserve">Communicable, maternal, neonatal, nutritional</w:t>
            </w:r>
          </w:p>
        </w:tc>
        <w:tc>
          <w:tcPr/>
          <w:p>
            <w:pPr>
              <w:pStyle w:val="Compact"/>
              <w:jc w:val="left"/>
            </w:pPr>
            <w:r>
              <w:t xml:space="preserve">Tuberculosis</w:t>
            </w:r>
          </w:p>
        </w:tc>
        <w:tc>
          <w:tcPr/>
          <w:p>
            <w:pPr>
              <w:pStyle w:val="Compact"/>
              <w:jc w:val="right"/>
            </w:pPr>
            <w:r>
              <w:t xml:space="preserve">2.5</w:t>
            </w:r>
          </w:p>
        </w:tc>
        <w:tc>
          <w:tcPr/>
          <w:p>
            <w:pPr>
              <w:pStyle w:val="Compact"/>
              <w:jc w:val="right"/>
            </w:pPr>
            <w:r>
              <w:t xml:space="preserve">32.9</w:t>
            </w:r>
          </w:p>
        </w:tc>
      </w:tr>
      <w:tr>
        <w:tc>
          <w:tcPr/>
          <w:p>
            <w:pPr>
              <w:pStyle w:val="Compact"/>
              <w:jc w:val="left"/>
            </w:pPr>
            <w:r>
              <w:t xml:space="preserve">Communicable, maternal, neonatal, nutritional</w:t>
            </w:r>
          </w:p>
        </w:tc>
        <w:tc>
          <w:tcPr/>
          <w:p>
            <w:pPr>
              <w:pStyle w:val="Compact"/>
              <w:jc w:val="left"/>
            </w:pPr>
            <w:r>
              <w:t xml:space="preserve">Meningitis</w:t>
            </w:r>
          </w:p>
        </w:tc>
        <w:tc>
          <w:tcPr/>
          <w:p>
            <w:pPr>
              <w:pStyle w:val="Compact"/>
              <w:jc w:val="right"/>
            </w:pPr>
            <w:r>
              <w:t xml:space="preserve">1.9</w:t>
            </w:r>
          </w:p>
        </w:tc>
        <w:tc>
          <w:tcPr/>
          <w:p>
            <w:pPr>
              <w:pStyle w:val="Compact"/>
              <w:jc w:val="right"/>
            </w:pPr>
            <w:r>
              <w:t xml:space="preserve">34.8</w:t>
            </w:r>
          </w:p>
        </w:tc>
      </w:tr>
      <w:tr>
        <w:tc>
          <w:tcPr/>
          <w:p>
            <w:pPr>
              <w:pStyle w:val="Compact"/>
              <w:jc w:val="left"/>
            </w:pPr>
            <w:r>
              <w:t xml:space="preserve">Communicable, maternal, neonatal, nutritional</w:t>
            </w:r>
          </w:p>
        </w:tc>
        <w:tc>
          <w:tcPr/>
          <w:p>
            <w:pPr>
              <w:pStyle w:val="Compact"/>
              <w:jc w:val="left"/>
            </w:pPr>
            <w:r>
              <w:t xml:space="preserve">Measles</w:t>
            </w:r>
          </w:p>
        </w:tc>
        <w:tc>
          <w:tcPr/>
          <w:p>
            <w:pPr>
              <w:pStyle w:val="Compact"/>
              <w:jc w:val="right"/>
            </w:pPr>
            <w:r>
              <w:t xml:space="preserve">1.9</w:t>
            </w:r>
          </w:p>
        </w:tc>
        <w:tc>
          <w:tcPr/>
          <w:p>
            <w:pPr>
              <w:pStyle w:val="Compact"/>
              <w:jc w:val="right"/>
            </w:pPr>
            <w:r>
              <w:t xml:space="preserve">36.7</w:t>
            </w:r>
          </w:p>
        </w:tc>
      </w:tr>
      <w:tr>
        <w:tc>
          <w:tcPr/>
          <w:p>
            <w:pPr>
              <w:pStyle w:val="Compact"/>
              <w:jc w:val="left"/>
            </w:pPr>
            <w:r>
              <w:t xml:space="preserve">Communicable, maternal, neonatal, nutritional</w:t>
            </w:r>
          </w:p>
        </w:tc>
        <w:tc>
          <w:tcPr/>
          <w:p>
            <w:pPr>
              <w:pStyle w:val="Compact"/>
              <w:jc w:val="left"/>
            </w:pPr>
            <w:r>
              <w:t xml:space="preserve">HIV/AIDS</w:t>
            </w:r>
          </w:p>
        </w:tc>
        <w:tc>
          <w:tcPr/>
          <w:p>
            <w:pPr>
              <w:pStyle w:val="Compact"/>
              <w:jc w:val="right"/>
            </w:pPr>
            <w:r>
              <w:t xml:space="preserve">1.9</w:t>
            </w:r>
          </w:p>
        </w:tc>
        <w:tc>
          <w:tcPr/>
          <w:p>
            <w:pPr>
              <w:pStyle w:val="Compact"/>
              <w:jc w:val="right"/>
            </w:pPr>
            <w:r>
              <w:t xml:space="preserve">38.5</w:t>
            </w:r>
          </w:p>
        </w:tc>
      </w:tr>
      <w:tr>
        <w:tc>
          <w:tcPr/>
          <w:p>
            <w:pPr>
              <w:pStyle w:val="Compact"/>
              <w:jc w:val="left"/>
            </w:pPr>
            <w:r>
              <w:t xml:space="preserve">Communicable, maternal, neonatal, nutritional</w:t>
            </w:r>
          </w:p>
        </w:tc>
        <w:tc>
          <w:tcPr/>
          <w:p>
            <w:pPr>
              <w:pStyle w:val="Compact"/>
              <w:jc w:val="left"/>
            </w:pPr>
            <w:r>
              <w:t xml:space="preserve">Maternal disorders</w:t>
            </w:r>
          </w:p>
        </w:tc>
        <w:tc>
          <w:tcPr/>
          <w:p>
            <w:pPr>
              <w:pStyle w:val="Compact"/>
              <w:jc w:val="right"/>
            </w:pPr>
            <w:r>
              <w:t xml:space="preserve">1.5</w:t>
            </w:r>
          </w:p>
        </w:tc>
        <w:tc>
          <w:tcPr/>
          <w:p>
            <w:pPr>
              <w:pStyle w:val="Compact"/>
              <w:jc w:val="right"/>
            </w:pPr>
            <w:r>
              <w:t xml:space="preserve">40.0</w:t>
            </w:r>
          </w:p>
        </w:tc>
      </w:tr>
      <w:tr>
        <w:tc>
          <w:tcPr/>
          <w:p>
            <w:pPr>
              <w:pStyle w:val="Compact"/>
              <w:jc w:val="left"/>
            </w:pPr>
            <w:r>
              <w:t xml:space="preserve">Injuries</w:t>
            </w:r>
          </w:p>
        </w:tc>
        <w:tc>
          <w:tcPr/>
          <w:p>
            <w:pPr>
              <w:pStyle w:val="Compact"/>
              <w:jc w:val="left"/>
            </w:pPr>
            <w:r>
              <w:t xml:space="preserve">Road injuries</w:t>
            </w:r>
          </w:p>
        </w:tc>
        <w:tc>
          <w:tcPr/>
          <w:p>
            <w:pPr>
              <w:pStyle w:val="Compact"/>
              <w:jc w:val="right"/>
            </w:pPr>
            <w:r>
              <w:t xml:space="preserve">2.9</w:t>
            </w:r>
          </w:p>
        </w:tc>
        <w:tc>
          <w:tcPr/>
          <w:p>
            <w:pPr>
              <w:pStyle w:val="Compact"/>
              <w:jc w:val="right"/>
            </w:pPr>
            <w:r>
              <w:t xml:space="preserve">42.9</w:t>
            </w:r>
          </w:p>
        </w:tc>
      </w:tr>
      <w:tr>
        <w:tc>
          <w:tcPr/>
          <w:p>
            <w:pPr>
              <w:pStyle w:val="Compact"/>
              <w:jc w:val="left"/>
            </w:pPr>
            <w:r>
              <w:t xml:space="preserve">Injuries</w:t>
            </w:r>
          </w:p>
        </w:tc>
        <w:tc>
          <w:tcPr/>
          <w:p>
            <w:pPr>
              <w:pStyle w:val="Compact"/>
              <w:jc w:val="left"/>
            </w:pPr>
            <w:r>
              <w:t xml:space="preserve">Drowning</w:t>
            </w:r>
          </w:p>
        </w:tc>
        <w:tc>
          <w:tcPr/>
          <w:p>
            <w:pPr>
              <w:pStyle w:val="Compact"/>
              <w:jc w:val="right"/>
            </w:pPr>
            <w:r>
              <w:t xml:space="preserve">1.6</w:t>
            </w:r>
          </w:p>
        </w:tc>
        <w:tc>
          <w:tcPr/>
          <w:p>
            <w:pPr>
              <w:pStyle w:val="Compact"/>
              <w:jc w:val="right"/>
            </w:pPr>
            <w:r>
              <w:t xml:space="preserve">44.5</w:t>
            </w:r>
          </w:p>
        </w:tc>
      </w:tr>
      <w:tr>
        <w:tc>
          <w:tcPr/>
          <w:p>
            <w:pPr>
              <w:pStyle w:val="Compact"/>
              <w:jc w:val="left"/>
            </w:pPr>
            <w:r>
              <w:t xml:space="preserve">Non-communicable diseases</w:t>
            </w:r>
          </w:p>
        </w:tc>
        <w:tc>
          <w:tcPr/>
          <w:p>
            <w:pPr>
              <w:pStyle w:val="Compact"/>
              <w:jc w:val="left"/>
            </w:pPr>
            <w:r>
              <w:t xml:space="preserve">Stroke</w:t>
            </w:r>
          </w:p>
        </w:tc>
        <w:tc>
          <w:tcPr/>
          <w:p>
            <w:pPr>
              <w:pStyle w:val="Compact"/>
              <w:jc w:val="right"/>
            </w:pPr>
            <w:r>
              <w:t xml:space="preserve">3.9</w:t>
            </w:r>
          </w:p>
        </w:tc>
        <w:tc>
          <w:tcPr/>
          <w:p>
            <w:pPr>
              <w:pStyle w:val="Compact"/>
              <w:jc w:val="right"/>
            </w:pPr>
            <w:r>
              <w:t xml:space="preserve">48.4</w:t>
            </w:r>
          </w:p>
        </w:tc>
      </w:tr>
      <w:tr>
        <w:tc>
          <w:tcPr/>
          <w:p>
            <w:pPr>
              <w:pStyle w:val="Compact"/>
              <w:jc w:val="left"/>
            </w:pPr>
            <w:r>
              <w:t xml:space="preserve">Non-communicable diseases</w:t>
            </w:r>
          </w:p>
        </w:tc>
        <w:tc>
          <w:tcPr/>
          <w:p>
            <w:pPr>
              <w:pStyle w:val="Compact"/>
              <w:jc w:val="left"/>
            </w:pPr>
            <w:r>
              <w:t xml:space="preserve">Congenital birth defects</w:t>
            </w:r>
          </w:p>
        </w:tc>
        <w:tc>
          <w:tcPr/>
          <w:p>
            <w:pPr>
              <w:pStyle w:val="Compact"/>
              <w:jc w:val="right"/>
            </w:pPr>
            <w:r>
              <w:t xml:space="preserve">3.3</w:t>
            </w:r>
          </w:p>
        </w:tc>
        <w:tc>
          <w:tcPr/>
          <w:p>
            <w:pPr>
              <w:pStyle w:val="Compact"/>
              <w:jc w:val="right"/>
            </w:pPr>
            <w:r>
              <w:t xml:space="preserve">51.7</w:t>
            </w:r>
          </w:p>
        </w:tc>
      </w:tr>
      <w:tr>
        <w:tc>
          <w:tcPr/>
          <w:p>
            <w:pPr>
              <w:pStyle w:val="Compact"/>
              <w:jc w:val="left"/>
            </w:pPr>
            <w:r>
              <w:t xml:space="preserve">Non-communicable diseases</w:t>
            </w:r>
          </w:p>
        </w:tc>
        <w:tc>
          <w:tcPr/>
          <w:p>
            <w:pPr>
              <w:pStyle w:val="Compact"/>
              <w:jc w:val="left"/>
            </w:pPr>
            <w:r>
              <w:t xml:space="preserve">Anxiety disorders</w:t>
            </w:r>
          </w:p>
        </w:tc>
        <w:tc>
          <w:tcPr/>
          <w:p>
            <w:pPr>
              <w:pStyle w:val="Compact"/>
              <w:jc w:val="right"/>
            </w:pPr>
            <w:r>
              <w:t xml:space="preserve">2.4</w:t>
            </w:r>
          </w:p>
        </w:tc>
        <w:tc>
          <w:tcPr/>
          <w:p>
            <w:pPr>
              <w:pStyle w:val="Compact"/>
              <w:jc w:val="right"/>
            </w:pPr>
            <w:r>
              <w:t xml:space="preserve">54.2</w:t>
            </w:r>
          </w:p>
        </w:tc>
      </w:tr>
      <w:tr>
        <w:tc>
          <w:tcPr/>
          <w:p>
            <w:pPr>
              <w:pStyle w:val="Compact"/>
              <w:jc w:val="left"/>
            </w:pPr>
            <w:r>
              <w:t xml:space="preserve">Non-communicable diseases</w:t>
            </w:r>
          </w:p>
        </w:tc>
        <w:tc>
          <w:tcPr/>
          <w:p>
            <w:pPr>
              <w:pStyle w:val="Compact"/>
              <w:jc w:val="left"/>
            </w:pPr>
            <w:r>
              <w:t xml:space="preserve">Ischemic heart disease</w:t>
            </w:r>
          </w:p>
        </w:tc>
        <w:tc>
          <w:tcPr/>
          <w:p>
            <w:pPr>
              <w:pStyle w:val="Compact"/>
              <w:jc w:val="right"/>
            </w:pPr>
            <w:r>
              <w:t xml:space="preserve">2.1</w:t>
            </w:r>
          </w:p>
        </w:tc>
        <w:tc>
          <w:tcPr/>
          <w:p>
            <w:pPr>
              <w:pStyle w:val="Compact"/>
              <w:jc w:val="right"/>
            </w:pPr>
            <w:r>
              <w:t xml:space="preserve">56.2</w:t>
            </w:r>
          </w:p>
        </w:tc>
      </w:tr>
      <w:tr>
        <w:tc>
          <w:tcPr/>
          <w:p>
            <w:pPr>
              <w:pStyle w:val="Compact"/>
              <w:jc w:val="left"/>
            </w:pPr>
            <w:r>
              <w:t xml:space="preserve">Non-communicable diseases</w:t>
            </w:r>
          </w:p>
        </w:tc>
        <w:tc>
          <w:tcPr/>
          <w:p>
            <w:pPr>
              <w:pStyle w:val="Compact"/>
              <w:jc w:val="left"/>
            </w:pPr>
            <w:r>
              <w:t xml:space="preserve">Cirrhosis and other chronic liver diseases</w:t>
            </w:r>
          </w:p>
        </w:tc>
        <w:tc>
          <w:tcPr/>
          <w:p>
            <w:pPr>
              <w:pStyle w:val="Compact"/>
              <w:jc w:val="right"/>
            </w:pPr>
            <w:r>
              <w:t xml:space="preserve">1.9</w:t>
            </w:r>
          </w:p>
        </w:tc>
        <w:tc>
          <w:tcPr/>
          <w:p>
            <w:pPr>
              <w:pStyle w:val="Compact"/>
              <w:jc w:val="right"/>
            </w:pPr>
            <w:r>
              <w:t xml:space="preserve">58.2</w:t>
            </w:r>
          </w:p>
        </w:tc>
      </w:tr>
      <w:tr>
        <w:tc>
          <w:tcPr/>
          <w:p>
            <w:pPr>
              <w:pStyle w:val="Compact"/>
              <w:jc w:val="left"/>
            </w:pPr>
            <w:r>
              <w:t xml:space="preserve">Non-communicable diseases</w:t>
            </w:r>
          </w:p>
        </w:tc>
        <w:tc>
          <w:tcPr/>
          <w:p>
            <w:pPr>
              <w:pStyle w:val="Compact"/>
              <w:jc w:val="left"/>
            </w:pPr>
            <w:r>
              <w:t xml:space="preserve">Diabetes mellitus</w:t>
            </w:r>
          </w:p>
        </w:tc>
        <w:tc>
          <w:tcPr/>
          <w:p>
            <w:pPr>
              <w:pStyle w:val="Compact"/>
              <w:jc w:val="right"/>
            </w:pPr>
            <w:r>
              <w:t xml:space="preserve">1.9</w:t>
            </w:r>
          </w:p>
        </w:tc>
        <w:tc>
          <w:tcPr/>
          <w:p>
            <w:pPr>
              <w:pStyle w:val="Compact"/>
              <w:jc w:val="right"/>
            </w:pPr>
            <w:r>
              <w:t xml:space="preserve">60.1</w:t>
            </w:r>
          </w:p>
        </w:tc>
      </w:tr>
      <w:tr>
        <w:tc>
          <w:tcPr/>
          <w:p>
            <w:pPr>
              <w:pStyle w:val="Compact"/>
              <w:jc w:val="left"/>
            </w:pPr>
            <w:r>
              <w:t xml:space="preserve">Non-communicable diseases</w:t>
            </w:r>
          </w:p>
        </w:tc>
        <w:tc>
          <w:tcPr/>
          <w:p>
            <w:pPr>
              <w:pStyle w:val="Compact"/>
              <w:jc w:val="left"/>
            </w:pPr>
            <w:r>
              <w:t xml:space="preserve">Depressive disorders</w:t>
            </w:r>
          </w:p>
        </w:tc>
        <w:tc>
          <w:tcPr/>
          <w:p>
            <w:pPr>
              <w:pStyle w:val="Compact"/>
              <w:jc w:val="right"/>
            </w:pPr>
            <w:r>
              <w:t xml:space="preserve">1.5</w:t>
            </w:r>
          </w:p>
        </w:tc>
        <w:tc>
          <w:tcPr/>
          <w:p>
            <w:pPr>
              <w:pStyle w:val="Compact"/>
              <w:jc w:val="right"/>
            </w:pPr>
            <w:r>
              <w:t xml:space="preserve">61.5</w:t>
            </w:r>
          </w:p>
        </w:tc>
      </w:tr>
      <w:tr>
        <w:tc>
          <w:tcPr>
            <w:tcBorders>
              <w:bottom w:val="single" w:sz="8" w:space="0" w:color="000000"/>
            </w:tcBorders>
          </w:tcPr>
          <w:p>
            <w:pPr>
              <w:pStyle w:val="Compact"/>
              <w:jc w:val="left"/>
            </w:pPr>
            <w:r>
              <w:t xml:space="preserve">Non-communicable diseases</w:t>
            </w:r>
          </w:p>
        </w:tc>
        <w:tc>
          <w:tcPr>
            <w:tcBorders>
              <w:bottom w:val="single" w:sz="8" w:space="0" w:color="000000"/>
            </w:tcBorders>
          </w:tcPr>
          <w:p>
            <w:pPr>
              <w:pStyle w:val="Compact"/>
              <w:jc w:val="left"/>
            </w:pPr>
            <w:r>
              <w:t xml:space="preserve">Hemoglobinopathies and hemolytic anemias</w:t>
            </w:r>
          </w:p>
        </w:tc>
        <w:tc>
          <w:tcPr>
            <w:tcBorders>
              <w:bottom w:val="single" w:sz="8" w:space="0" w:color="000000"/>
            </w:tcBorders>
          </w:tcPr>
          <w:p>
            <w:pPr>
              <w:pStyle w:val="Compact"/>
              <w:jc w:val="right"/>
            </w:pPr>
            <w:r>
              <w:t xml:space="preserve">1.4</w:t>
            </w:r>
          </w:p>
        </w:tc>
        <w:tc>
          <w:tcPr>
            <w:tcBorders>
              <w:bottom w:val="single" w:sz="8" w:space="0" w:color="000000"/>
            </w:tcBorders>
          </w:tcPr>
          <w:p>
            <w:pPr>
              <w:pStyle w:val="Compact"/>
              <w:jc w:val="right"/>
            </w:pPr>
            <w:r>
              <w:t xml:space="preserve">63.0</w:t>
            </w:r>
          </w:p>
        </w:tc>
      </w:tr>
    </w:tbl>
    <w:p>
      <w:pPr>
        <w:pStyle w:val="BodyText"/>
      </w:pPr>
      <w:r>
        <w:rPr>
          <w:iCs/>
          <w:i/>
        </w:rPr>
        <w:t xml:space="preserve">Source: IHME, Global Burden of Disease (GBD), Senegal, DALYs 2023.</w:t>
      </w:r>
    </w:p>
    <w:p>
      <w:pPr>
        <w:pStyle w:val="ImageCaption"/>
      </w:pPr>
      <w:r>
        <w:t>Figure 1: Top 20 causes of DALYs in Senegal, 2023</w:t>
      </w:r>
    </w:p>
    <w:p>
      <w:pPr>
        <w:pStyle w:val="CaptionedFigure"/>
      </w:pPr>
      <w:r>
        <w:drawing>
          <wp:inline>
            <wp:extent cx="5486400" cy="4572000"/>
            <wp:docPr id="65" name="Picture 65"/>
            <wp:cNvGraphicFramePr>
              <a:graphicFrameLocks noChangeAspect="1"/>
            </wp:cNvGraphicFramePr>
            <a:graphic>
              <a:graphicData uri="http://schemas.openxmlformats.org/drawingml/2006/picture">
                <pic:pic>
                  <pic:nvPicPr>
                    <pic:cNvPr id="0" name="top20_causes_dalys.png"/>
                    <pic:cNvPicPr/>
                  </pic:nvPicPr>
                  <pic:blipFill>
                    <a:blip r:embed="rId14"/>
                    <a:stretch>
                      <a:fillRect/>
                    </a:stretch>
                  </pic:blipFill>
                  <pic:spPr>
                    <a:xfrm>
                      <a:off x="0" y="0"/>
                      <a:ext cx="5486400" cy="4572000"/>
                    </a:xfrm>
                    <a:prstGeom prst="rect"/>
                  </pic:spPr>
                </pic:pic>
              </a:graphicData>
            </a:graphic>
          </wp:inline>
        </w:drawing>
      </w:r>
    </w:p>
    <w:p>
      <w:pPr>
        <w:pStyle w:val="SourceNote"/>
      </w:pPr>
      <w:r>
        <w:t>Note: colour marks the Level-1 GBD category (communicable/maternal/neonatal/nutritional, injuries, non-communicable diseases).</w:t>
      </w:r>
    </w:p>
    <w:p>
      <w:pPr>
        <w:pStyle w:val="BodyText"/>
      </w:pPr>
      <w:r>
        <w:rPr>
          <w:iCs/>
          <w:i/>
        </w:rPr>
        <w:t xml:space="preserve">Source: IHME, Global Burden of Disease (GBD), Senegal, DALYs 2023.</w:t>
      </w:r>
    </w:p>
    <w:p>
      <w:pPr>
        <w:pStyle w:val="Heading3"/>
      </w:pPr>
      <w:r>
        <w:t>2.1.2 Intervention architecture</w:t>
      </w:r>
    </w:p>
    <w:p>
      <w:pPr>
        <w:pStyle w:val="FirstParagraph"/>
      </w:pPr>
      <w:r>
        <w:t xml:space="preserve">Two intervention lists were assessed against the disease burden: the OneHealth Tool (OHT) and the Disease Control Priorities, 3rd edition (DCP3) list.</w:t>
      </w:r>
    </w:p>
    <w:p>
      <w:pPr>
        <w:pStyle w:val="BodyText"/>
      </w:pPr>
      <w: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Pr>
        <w:footnoteReference w:id="29"/>
      </w:r>
      <w: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Pr>
        <w:footnoteReference w:id="30"/>
      </w:r>
      <w: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pPr>
      <w: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pPr>
      <w:r>
        <w:rPr>
          <w:bCs/>
          <w:b/>
        </w:rPr>
        <w:t>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8" w:space="0" w:color="000000"/>
              <w:bottom w:val="single" w:sz="8" w:space="0" w:color="000000"/>
            </w:tcBorders>
          </w:tcPr>
          <w:p>
            <w:pPr>
              <w:pStyle w:val="Compact"/>
              <w:jc w:val="left"/>
            </w:pPr>
            <w:r>
              <w:rPr>
                <w:b/>
                <w:color w:val="000066"/>
              </w:rPr>
              <w:t xml:space="preserve">OHT module</w:t>
            </w:r>
          </w:p>
        </w:tc>
        <w:tc>
          <w:tcPr>
            <w:tcBorders>
              <w:top w:val="single" w:sz="8" w:space="0" w:color="000000"/>
              <w:bottom w:val="single" w:sz="8" w:space="0" w:color="000000"/>
            </w:tcBorders>
          </w:tcPr>
          <w:p>
            <w:pPr>
              <w:pStyle w:val="Compact"/>
              <w:jc w:val="right"/>
            </w:pPr>
            <w:r>
              <w:rPr>
                <w:b/>
                <w:color w:val="000066"/>
              </w:rPr>
              <w:t xml:space="preserve">N interventions</w:t>
            </w:r>
          </w:p>
        </w:tc>
        <w:tc>
          <w:tcPr>
            <w:tcBorders>
              <w:top w:val="single" w:sz="8" w:space="0" w:color="000000"/>
              <w:bottom w:val="single" w:sz="8" w:space="0" w:color="000000"/>
            </w:tcBorders>
          </w:tcPr>
          <w:p>
            <w:pPr>
              <w:pStyle w:val="Compact"/>
              <w:jc w:val="right"/>
            </w:pPr>
            <w:r>
              <w:rPr>
                <w:b/>
                <w:color w:val="000066"/>
              </w:rPr>
              <w:t xml:space="preserve">N matched to a GBD cause</w:t>
            </w:r>
          </w:p>
        </w:tc>
      </w:tr>
      <w:tr>
        <w:tc>
          <w:tcPr/>
          <w:p>
            <w:pPr>
              <w:pStyle w:val="Compact"/>
              <w:jc w:val="left"/>
            </w:pPr>
            <w:r>
              <w:t xml:space="preserve">Child health</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HIV/AIDS</w:t>
            </w:r>
          </w:p>
        </w:tc>
        <w:tc>
          <w:tcPr/>
          <w:p>
            <w:pPr>
              <w:pStyle w:val="Compact"/>
              <w:jc w:val="right"/>
            </w:pPr>
            <w:r>
              <w:t xml:space="preserve">32</w:t>
            </w:r>
          </w:p>
        </w:tc>
        <w:tc>
          <w:tcPr/>
          <w:p>
            <w:pPr>
              <w:pStyle w:val="Compact"/>
              <w:jc w:val="right"/>
            </w:pPr>
            <w:r>
              <w:t xml:space="preserve">30</w:t>
            </w:r>
          </w:p>
        </w:tc>
      </w:tr>
      <w:tr>
        <w:tc>
          <w:tcPr/>
          <w:p>
            <w:pPr>
              <w:pStyle w:val="Compact"/>
              <w:jc w:val="left"/>
            </w:pPr>
            <w:r>
              <w:t xml:space="preserve">Immunization</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Malaria</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Maternal/newborn and reproductive health</w:t>
            </w:r>
          </w:p>
        </w:tc>
        <w:tc>
          <w:tcPr/>
          <w:p>
            <w:pPr>
              <w:pStyle w:val="Compact"/>
              <w:jc w:val="right"/>
            </w:pPr>
            <w:r>
              <w:t xml:space="preserve">67</w:t>
            </w:r>
          </w:p>
        </w:tc>
        <w:tc>
          <w:tcPr/>
          <w:p>
            <w:pPr>
              <w:pStyle w:val="Compact"/>
              <w:jc w:val="right"/>
            </w:pPr>
            <w:r>
              <w:t xml:space="preserve">67</w:t>
            </w:r>
          </w:p>
        </w:tc>
      </w:tr>
      <w:tr>
        <w:tc>
          <w:tcPr/>
          <w:p>
            <w:pPr>
              <w:pStyle w:val="Compact"/>
              <w:jc w:val="left"/>
            </w:pPr>
            <w:r>
              <w:t xml:space="preserve">Mental, neurological, and substance use disorders</w:t>
            </w:r>
          </w:p>
        </w:tc>
        <w:tc>
          <w:tcPr/>
          <w:p>
            <w:pPr>
              <w:pStyle w:val="Compact"/>
              <w:jc w:val="right"/>
            </w:pPr>
            <w:r>
              <w:t xml:space="preserve">40</w:t>
            </w:r>
          </w:p>
        </w:tc>
        <w:tc>
          <w:tcPr/>
          <w:p>
            <w:pPr>
              <w:pStyle w:val="Compact"/>
              <w:jc w:val="right"/>
            </w:pPr>
            <w:r>
              <w:t xml:space="preserve">40</w:t>
            </w:r>
          </w:p>
        </w:tc>
      </w:tr>
      <w:tr>
        <w:tc>
          <w:tcPr/>
          <w:p>
            <w:pPr>
              <w:pStyle w:val="Compact"/>
              <w:jc w:val="left"/>
            </w:pPr>
            <w:r>
              <w:t xml:space="preserve">Neglected tropical diseases</w:t>
            </w:r>
          </w:p>
        </w:tc>
        <w:tc>
          <w:tcPr/>
          <w:p>
            <w:pPr>
              <w:pStyle w:val="Compact"/>
              <w:jc w:val="right"/>
            </w:pPr>
            <w:r>
              <w:t xml:space="preserve">24</w:t>
            </w:r>
          </w:p>
        </w:tc>
        <w:tc>
          <w:tcPr/>
          <w:p>
            <w:pPr>
              <w:pStyle w:val="Compact"/>
              <w:jc w:val="right"/>
            </w:pPr>
            <w:r>
              <w:t xml:space="preserve">24</w:t>
            </w:r>
          </w:p>
        </w:tc>
      </w:tr>
      <w:tr>
        <w:tc>
          <w:tcPr/>
          <w:p>
            <w:pPr>
              <w:pStyle w:val="Compact"/>
              <w:jc w:val="left"/>
            </w:pPr>
            <w:r>
              <w:t xml:space="preserve">Non-communicable diseases</w:t>
            </w:r>
          </w:p>
        </w:tc>
        <w:tc>
          <w:tcPr/>
          <w:p>
            <w:pPr>
              <w:pStyle w:val="Compact"/>
              <w:jc w:val="right"/>
            </w:pPr>
            <w:r>
              <w:t xml:space="preserve">83</w:t>
            </w:r>
          </w:p>
        </w:tc>
        <w:tc>
          <w:tcPr/>
          <w:p>
            <w:pPr>
              <w:pStyle w:val="Compact"/>
              <w:jc w:val="right"/>
            </w:pPr>
            <w:r>
              <w:t xml:space="preserve">78</w:t>
            </w:r>
          </w:p>
        </w:tc>
      </w:tr>
      <w:tr>
        <w:tc>
          <w:tcPr/>
          <w:p>
            <w:pPr>
              <w:pStyle w:val="Compact"/>
              <w:jc w:val="left"/>
            </w:pPr>
            <w:r>
              <w:t xml:space="preserve">Nutrition</w:t>
            </w:r>
          </w:p>
        </w:tc>
        <w:tc>
          <w:tcPr/>
          <w:p>
            <w:pPr>
              <w:pStyle w:val="Compact"/>
              <w:jc w:val="right"/>
            </w:pPr>
            <w:r>
              <w:t xml:space="preserve">28</w:t>
            </w:r>
          </w:p>
        </w:tc>
        <w:tc>
          <w:tcPr/>
          <w:p>
            <w:pPr>
              <w:pStyle w:val="Compact"/>
              <w:jc w:val="right"/>
            </w:pPr>
            <w:r>
              <w:t xml:space="preserve">28</w:t>
            </w:r>
          </w:p>
        </w:tc>
      </w:tr>
      <w:tr>
        <w:tc>
          <w:tcPr>
            <w:tcBorders>
              <w:bottom w:val="single" w:sz="8" w:space="0" w:color="000000"/>
            </w:tcBorders>
          </w:tcPr>
          <w:p>
            <w:pPr>
              <w:pStyle w:val="Compact"/>
              <w:jc w:val="left"/>
            </w:pPr>
            <w:r>
              <w:t xml:space="preserve">Tuberculosis</w:t>
            </w:r>
          </w:p>
        </w:tc>
        <w:tc>
          <w:tcPr>
            <w:tcBorders>
              <w:bottom w:val="single" w:sz="8" w:space="0" w:color="000000"/>
            </w:tcBorders>
          </w:tcPr>
          <w:p>
            <w:pPr>
              <w:pStyle w:val="Compact"/>
              <w:jc w:val="right"/>
            </w:pPr>
            <w:r>
              <w:t xml:space="preserve">77</w:t>
            </w:r>
          </w:p>
        </w:tc>
        <w:tc>
          <w:tcPr>
            <w:tcBorders>
              <w:bottom w:val="single" w:sz="8" w:space="0" w:color="000000"/>
            </w:tcBorders>
          </w:tcPr>
          <w:p>
            <w:pPr>
              <w:pStyle w:val="Compact"/>
              <w:jc w:val="right"/>
            </w:pPr>
            <w:r>
              <w:t xml:space="preserve">77</w:t>
            </w:r>
          </w:p>
        </w:tc>
      </w:tr>
    </w:tbl>
    <w:p>
      <w:pPr>
        <w:pStyle w:val="BodyText"/>
      </w:pPr>
      <w:r>
        <w:rPr>
          <w:iCs/>
          <w:i/>
        </w:rPr>
        <w:t xml:space="preserve">Source: OneHealth Tool, Senegal settings (MSAS/DPRS); IHME, GBD 2023.</w:t>
      </w:r>
    </w:p>
    <w:p>
      <w:pPr>
        <w:pStyle w:val="BodyText"/>
      </w:pPr>
      <w: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p>
      <w:pPr>
        <w:pStyle w:val="Heading3"/>
      </w:pPr>
      <w:r>
        <w:t>2.1.3 Financing landscape</w:t>
      </w:r>
    </w:p>
    <w:p>
      <w:pPr>
        <w:pStyle w:val="FirstParagraph"/>
      </w:pPr>
      <w: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Pr>
        <w:footnoteReference w:id="36"/>
      </w:r>
    </w:p>
    <w:p>
      <w:pPr>
        <w:pStyle w:val="BodyText"/>
      </w:pPr>
      <w:r>
        <w:t xml:space="preserve">Budget-share estimates vary by measurement base. The Ministry of Health’s operating budget represented approximately 10% of the state’s operating budget in 2022;</w:t>
      </w:r>
      <w:r>
        <w:rPr>
          <w:rStyle w:val="FootnoteReference"/>
        </w:rPr>
        <w:footnoteReference w:id="37"/>
      </w:r>
      <w:r>
        <w:t xml:space="preserve"> budget-execution reporting for 2024 recorded the health sector at 5.8% of total budget execution.</w:t>
      </w:r>
      <w:r>
        <w:rPr>
          <w:rStyle w:val="FootnoteReference"/>
        </w:rPr>
        <w:footnoteReference w:id="38"/>
      </w:r>
      <w:r>
        <w:t xml:space="preserve"> The two measures are not equivalent and are reported here separately rather than reconciled.</w:t>
      </w:r>
    </w:p>
    <w:p>
      <w:pPr>
        <w:pStyle w:val="Heading3"/>
      </w:pPr>
      <w:r>
        <w:t>2.1.4 Resource and cost data</w:t>
      </w:r>
    </w:p>
    <w:p>
      <w:pPr>
        <w:pStyle w:val="FirstParagraph"/>
      </w:pPr>
      <w: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 both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Section 3.2's main constrained-optimization results do not yet include a Senegal-specific health-workforce constraint; we report an illustrative version using literature-derived workforce figures alongside it. The consumables budget we use as the sole resource constraint for the main results in Section 3.2 is a provisional $120 million working value</w:t>
      </w:r>
      <w:r>
        <w:rPr>
          <w:rStyle w:val="FootnoteReference"/>
        </w:rPr>
        <w:footnoteReference w:id="41"/>
      </w:r>
      <w:r>
        <w:t xml:space="preserve">, not yet drawn from an actual government budget record; we will replace it with a confirmed MSAS consumables-budget line item as soon as one is available, at which point every downstream number in Section 3.2 updates automatically.</w:t>
      </w:r>
    </w:p>
    <w:p>
      <w:pPr>
        <w:pStyle w:val="FirstParagraph"/>
      </w:pPr>
      <w:r>
        <w:rPr>
          <w:bCs/>
          <w:b/>
        </w:rPr>
        <w:t>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8" w:space="0" w:color="000000"/>
              <w:bottom w:val="single" w:sz="8" w:space="0" w:color="000000"/>
            </w:tcBorders>
          </w:tcPr>
          <w:p>
            <w:pPr>
              <w:pStyle w:val="Compact"/>
              <w:jc w:val="left"/>
            </w:pPr>
            <w:r>
              <w:rPr>
                <w:b/>
                <w:color w:val="000066"/>
              </w:rPr>
              <w:t xml:space="preserve">Model parameter</w:t>
            </w:r>
          </w:p>
        </w:tc>
        <w:tc>
          <w:tcPr>
            <w:tcBorders>
              <w:top w:val="single" w:sz="8" w:space="0" w:color="000000"/>
              <w:bottom w:val="single" w:sz="8" w:space="0" w:color="000000"/>
            </w:tcBorders>
          </w:tcPr>
          <w:p>
            <w:pPr>
              <w:pStyle w:val="Compact"/>
              <w:jc w:val="left"/>
            </w:pPr>
            <w:r>
              <w:rPr>
                <w:b/>
                <w:color w:val="000066"/>
              </w:rPr>
              <w:t xml:space="preserve">Source</w:t>
            </w:r>
          </w:p>
        </w:tc>
        <w:tc>
          <w:tcPr>
            <w:tcBorders>
              <w:top w:val="single" w:sz="8" w:space="0" w:color="000000"/>
              <w:bottom w:val="single" w:sz="8" w:space="0" w:color="000000"/>
            </w:tcBorders>
          </w:tcPr>
          <w:p>
            <w:pPr>
              <w:pStyle w:val="Compact"/>
              <w:jc w:val="left"/>
            </w:pPr>
            <w:r>
              <w:rPr>
                <w:b/>
                <w:color w:val="000066"/>
              </w:rPr>
              <w:t xml:space="preserve">Country-specific?</w:t>
            </w:r>
          </w:p>
        </w:tc>
        <w:tc>
          <w:tcPr>
            <w:tcBorders>
              <w:top w:val="single" w:sz="8" w:space="0" w:color="000000"/>
              <w:bottom w:val="single" w:sz="8" w:space="0" w:color="000000"/>
            </w:tcBorders>
          </w:tcPr>
          <w:p>
            <w:pPr>
              <w:pStyle w:val="Compact"/>
              <w:jc w:val="left"/>
            </w:pPr>
            <w:r>
              <w:rPr>
                <w:b/>
                <w:color w:val="000066"/>
              </w:rPr>
              <w:t xml:space="preserve">Year</w:t>
            </w:r>
          </w:p>
        </w:tc>
        <w:tc>
          <w:tcPr>
            <w:tcBorders>
              <w:top w:val="single" w:sz="8" w:space="0" w:color="000000"/>
              <w:bottom w:val="single" w:sz="8" w:space="0" w:color="000000"/>
            </w:tcBorders>
          </w:tcPr>
          <w:p>
            <w:pPr>
              <w:pStyle w:val="Compact"/>
              <w:jc w:val="left"/>
            </w:pPr>
            <w:r>
              <w:rPr>
                <w:b/>
                <w:color w:val="000066"/>
              </w:rPr>
              <w:t xml:space="preserve">Notes</w:t>
            </w:r>
          </w:p>
        </w:tc>
      </w:tr>
      <w:tr>
        <w:tc>
          <w:tcPr/>
          <w:p>
            <w:pPr>
              <w:pStyle w:val="Compact"/>
              <w:jc w:val="left"/>
            </w:pPr>
            <w:r>
              <w:t xml:space="preserve">Cost-effectiveness (DALYs averted per patient)</w:t>
            </w:r>
          </w:p>
        </w:tc>
        <w:tc>
          <w:tcPr/>
          <w:p>
            <w:pPr>
              <w:pStyle w:val="Compact"/>
              <w:jc w:val="left"/>
            </w:pPr>
            <w:r>
              <w:t xml:space="preserve">Tufts Cost-Effectiveness Analysis Registry (primary); Uganda HBP Tool (fallback)</w:t>
            </w:r>
          </w:p>
        </w:tc>
        <w:tc>
          <w:tcPr/>
          <w:p>
            <w:pPr>
              <w:pStyle w:val="Compact"/>
              <w:jc w:val="left"/>
            </w:pPr>
            <w:r>
              <w:t xml:space="preserve">No</w:t>
            </w:r>
          </w:p>
        </w:tc>
        <w:tc>
          <w:tcPr/>
          <w:p>
            <w:pPr>
              <w:pStyle w:val="Compact"/>
              <w:jc w:val="left"/>
            </w:pPr>
            <w:r>
              <w:t xml:space="preserve">Varies by source study</w:t>
            </w:r>
          </w:p>
        </w:tc>
        <w:tc>
          <w:tcPr/>
          <w:p>
            <w:pPr>
              <w:pStyle w:val="Compact"/>
              <w:jc w:val="left"/>
            </w:pPr>
            <w: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t xml:space="preserve">Eligible population / cases</w:t>
            </w:r>
          </w:p>
        </w:tc>
        <w:tc>
          <w:tcPr/>
          <w:p>
            <w:pPr>
              <w:pStyle w:val="Compact"/>
              <w:jc w:val="left"/>
            </w:pPr>
            <w:r>
              <w:t xml:space="preserve">OneHealth Tool, Senegal settings (MSAS/DPRS)</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Cases = target population × population in need × coverage</w:t>
            </w:r>
          </w:p>
        </w:tc>
      </w:tr>
      <w:tr>
        <w:tc>
          <w:tcPr/>
          <w:p>
            <w:pPr>
              <w:pStyle w:val="Compact"/>
              <w:jc w:val="left"/>
            </w:pPr>
            <w:r>
              <w:t xml:space="preserve">Unit / consumables cost</w:t>
            </w:r>
          </w:p>
        </w:tc>
        <w:tc>
          <w:tcPr/>
          <w:p>
            <w:pPr>
              <w:pStyle w:val="Compact"/>
              <w:jc w:val="left"/>
            </w:pPr>
            <w:r>
              <w:t xml:space="preserve">OHT Top-20-Causes worksheet, manual entry (primary); OHT drug-and-supply costing sheet (fallback)</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No literature or cross-country fallback is used for cost</w:t>
            </w:r>
          </w:p>
        </w:tc>
      </w:tr>
      <w:tr>
        <w:tc>
          <w:tcPr/>
          <w:p>
            <w:pPr>
              <w:pStyle w:val="Compact"/>
              <w:jc w:val="left"/>
            </w:pPr>
            <w:r>
              <w:t xml:space="preserve">Health opportunity cost (CET)</w:t>
            </w:r>
          </w:p>
        </w:tc>
        <w:tc>
          <w:tcPr/>
          <w:p>
            <w:pPr>
              <w:pStyle w:val="Compact"/>
              <w:jc w:val="left"/>
            </w:pPr>
            <w:r>
              <w:t>Health-opportunity-cost threshold estimation exercise, GBD 2023 disease-burden data, 92 low- and lower-middle-income countries</w:t>
            </w:r>
          </w:p>
        </w:tc>
        <w:tc>
          <w:tcPr/>
          <w:p>
            <w:pPr>
              <w:pStyle w:val="Compact"/>
              <w:jc w:val="left"/>
            </w:pPr>
            <w:r>
              <w:t xml:space="preserve">No</w:t>
            </w:r>
          </w:p>
        </w:tc>
        <w:tc>
          <w:tcPr/>
          <w:p>
            <w:pPr>
              <w:pStyle w:val="Compact"/>
              <w:jc w:val="left"/>
            </w:pPr>
            <w:r>
              <w:t xml:space="preserve">2026 estimate, applied to 2023 cost and effect data</w:t>
            </w:r>
          </w:p>
        </w:tc>
        <w:tc>
          <w:tcPr/>
          <w:p>
            <w:pPr>
              <w:pStyle w:val="Compact"/>
              <w:jc w:val="left"/>
            </w:pPr>
            <w:r>
              <w:t xml:space="preserve">$485/DALY base case; sensitivity at 50%, 150%, 200%</w:t>
            </w:r>
          </w:p>
        </w:tc>
      </w:tr>
      <w:tr>
        <w:tc>
          <w:tcPr/>
          <w:p>
            <w:pPr>
              <w:pStyle w:val="Compact"/>
              <w:jc w:val="left"/>
            </w:pPr>
            <w:r>
              <w:t xml:space="preserve">Health-worker time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Required for a Senegal-specific constrained-optimization extension (Section 3.2); not present in this run (an illustrative version uses literature-derived workforce data instead)</w:t>
            </w:r>
          </w:p>
        </w:tc>
      </w:tr>
      <w:tr>
        <w:tc>
          <w:tcPr/>
          <w:p>
            <w:pPr>
              <w:pStyle w:val="Compact"/>
              <w:jc w:val="left"/>
            </w:pPr>
            <w:r>
              <w:t xml:space="preserve">Workforce capacity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Same limitation (Section 3.2)</w:t>
            </w:r>
          </w:p>
        </w:tc>
      </w:tr>
      <w:tr>
        <w:tc>
          <w:tcPr/>
          <w:p>
            <w:pPr>
              <w:pStyle w:val="Compact"/>
              <w:jc w:val="left"/>
            </w:pPr>
            <w:r>
              <w:t xml:space="preserve">Consumables budget envelope</w:t>
            </w:r>
          </w:p>
        </w:tc>
        <w:tc>
          <w:tcPr/>
          <w:p>
            <w:pPr>
              <w:pStyle w:val="Compact"/>
              <w:jc w:val="left"/>
            </w:pPr>
            <w:r>
              <w:t>Model configuration (provisional working value)</w:t>
            </w:r>
          </w:p>
        </w:tc>
        <w:tc>
          <w:tcPr/>
          <w:p>
            <w:pPr>
              <w:pStyle w:val="Compact"/>
              <w:jc w:val="left"/>
            </w:pPr>
            <w:r>
              <w:t>Yes (provisional)</w:t>
            </w:r>
          </w:p>
        </w:tc>
        <w:tc>
          <w:tcPr/>
          <w:p>
            <w:pPr>
              <w:pStyle w:val="Compact"/>
              <w:jc w:val="left"/>
            </w:pPr>
            <w:r>
              <w:t>2026 (placeholder)</w:t>
            </w:r>
          </w:p>
        </w:tc>
        <w:tc>
          <w:tcPr/>
          <w:p>
            <w:pPr>
              <w:pStyle w:val="Compact"/>
              <w:jc w:val="left"/>
            </w:pPr>
            <w:r>
              <w:t>Used as the budget constraint in the constrained optimization (Section 3.2); $120 million placeholder pending a confirmed MSAS consumables-budget line item</w:t>
            </w:r>
          </w:p>
        </w:tc>
      </w:tr>
      <w:tr>
        <w:tc>
          <w:tcPr/>
          <w:p>
            <w:pPr>
              <w:pStyle w:val="Compact"/>
              <w:jc w:val="left"/>
            </w:pPr>
            <w:r>
              <w:t>DCEA baseline health index</w:t>
            </w:r>
          </w:p>
        </w:tc>
        <w:tc>
          <w:tcPr/>
          <w:p>
            <w:pPr>
              <w:pStyle w:val="Compact"/>
              <w:jc w:val="left"/>
            </w:pPr>
            <w:r>
              <w:t xml:space="preserve">National healthy life expectancy and urban population share, both placeholder (Section 8); mortality/prevalence weighting fixed at 0.5</w:t>
            </w:r>
          </w:p>
        </w:tc>
        <w:tc>
          <w:tcPr/>
          <w:p>
            <w:pPr>
              <w:pStyle w:val="Compact"/>
              <w:jc w:val="left"/>
            </w:pPr>
            <w:r>
              <w:t xml:space="preserve">Partial</w:t>
            </w:r>
          </w:p>
        </w:tc>
        <w:tc>
          <w:tcPr/>
          <w:p>
            <w:pPr>
              <w:pStyle w:val="Compact"/>
              <w:jc w:val="left"/>
            </w:pPr>
            <w:r>
              <w:t xml:space="preserve">2023 (target)</w:t>
            </w:r>
          </w:p>
        </w:tc>
        <w:tc>
          <w:tcPr/>
          <w:p>
            <w:pPr>
              <w:pStyle w:val="Compact"/>
              <w:jc w:val="left"/>
            </w:pPr>
            <w:r>
              <w:t xml:space="preserve">Pending Senegal Continuous DHS 2023 microdata</w:t>
            </w:r>
          </w:p>
        </w:tc>
      </w:tr>
      <w:tr>
        <w:tc>
          <w:tcPr>
            <w:tcBorders>
              <w:bottom w:val="single" w:sz="8" w:space="0" w:color="000000"/>
            </w:tcBorders>
          </w:tcPr>
          <w:p>
            <w:pPr>
              <w:pStyle w:val="Compact"/>
              <w:jc w:val="left"/>
            </w:pPr>
            <w:r>
              <w:t xml:space="preserve">Monetary year</w:t>
            </w:r>
          </w:p>
        </w:tc>
        <w:tc>
          <w:tcPr>
            <w:tcBorders>
              <w:bottom w:val="single" w:sz="8" w:space="0" w:color="000000"/>
            </w:tcBorders>
          </w:tcPr>
          <w:p>
            <w:pPr>
              <w:pStyle w:val="Compact"/>
              <w:jc w:val="left"/>
            </w:pPr>
            <w:r>
              <w:t xml:space="preserve">2023 USD (OHT); 2026 estimate (CET)</w:t>
            </w:r>
          </w:p>
        </w:tc>
        <w:tc>
          <w:tcPr>
            <w:tcBorders>
              <w:bottom w:val="single" w:sz="8" w:space="0" w:color="000000"/>
            </w:tcBorders>
          </w:tcPr>
          <w:p>
            <w:pPr>
              <w:pStyle w:val="Compact"/>
              <w:jc w:val="left"/>
            </w:pPr>
            <w:r>
              <w:t xml:space="preserve">—</w:t>
            </w:r>
          </w:p>
        </w:tc>
        <w:tc>
          <w:tcPr>
            <w:tcBorders>
              <w:bottom w:val="single" w:sz="8" w:space="0" w:color="000000"/>
            </w:tcBorders>
          </w:tcPr>
          <w:p>
            <w:pPr>
              <w:pStyle w:val="Compact"/>
              <w:jc w:val="left"/>
            </w:pPr>
            <w:r>
              <w:t xml:space="preserve">Mixed</w:t>
            </w:r>
          </w:p>
        </w:tc>
        <w:tc>
          <w:tcPr>
            <w:tcBorders>
              <w:bottom w:val="single" w:sz="8" w:space="0" w:color="000000"/>
            </w:tcBorders>
          </w:tcPr>
          <w:p>
            <w:pPr>
              <w:pStyle w:val="Compact"/>
              <w:jc w:val="left"/>
            </w:pPr>
            <w:r>
              <w:t xml:space="preserve">Not yet harmonized to a single price year across cost and CET sources</w:t>
            </w:r>
          </w:p>
        </w:tc>
      </w:tr>
    </w:tbl>
    <w:p>
      <w:pPr>
        <w:pStyle w:val="Heading2"/>
      </w:pPr>
      <w:r>
        <w:t>2.2 Method</w:t>
      </w:r>
    </w:p>
    <w:p>
      <w:pPr>
        <w:pStyle w:val="Heading3"/>
      </w:pPr>
      <w:r>
        <w:t>2.2.1 League table construction</w:t>
      </w:r>
    </w:p>
    <w:p>
      <w:pPr>
        <w:pStyle w:val="FirstParagraph"/>
      </w:pPr>
      <w: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Pr>
        <w:footnoteReference w:id="40"/>
      </w:r>
    </w:p>
    <w:p>
      <w:pPr>
        <w:jc w:val="center"/>
      </w:pPr>
      <m:oMathPara>
        <m:oMath>
          <m:sSub>
            <m:e>
              <m:r>
                <m:rPr/>
                <m:t xml:space="preserve">Cases</m:t>
              </m:r>
            </m:e>
            <m:sub>
              <m:r>
                <m:rPr/>
                <m:t xml:space="preserve">i</m:t>
              </m:r>
            </m:sub>
          </m:sSub>
          <m:r>
            <m:rPr/>
            <m:t xml:space="preserve"> = </m:t>
          </m:r>
          <m:sSub>
            <m:e>
              <m:r>
                <m:rPr/>
                <m:t xml:space="preserve">Target population</m:t>
              </m:r>
            </m:e>
            <m:sub>
              <m:r>
                <m:rPr/>
                <m:t xml:space="preserve">i</m:t>
              </m:r>
            </m:sub>
          </m:sSub>
          <m:r>
            <m:rPr/>
            <m:t xml:space="preserve"> × </m:t>
          </m:r>
          <m:sSub>
            <m:e>
              <m:r>
                <m:rPr/>
                <m:t xml:space="preserve">Population in need</m:t>
              </m:r>
            </m:e>
            <m:sub>
              <m:r>
                <m:rPr/>
                <m:t xml:space="preserve">i</m:t>
              </m:r>
            </m:sub>
          </m:sSub>
          <m:r>
            <m:rPr/>
            <m:t xml:space="preserve"> × </m:t>
          </m:r>
          <m:sSub>
            <m:e>
              <m:r>
                <m:rPr/>
                <m:t xml:space="preserve">Coverage</m:t>
              </m:r>
            </m:e>
            <m:sub>
              <m:r>
                <m:rPr/>
                <m:t xml:space="preserve">i</m:t>
              </m:r>
            </m:sub>
          </m:sSub>
        </m:oMath>
      </m:oMathPara>
    </w:p>
    <w:p>
      <w:pPr>
        <w:pStyle w:val="SourceNote"/>
      </w:pPr>
      <w:r>
        <w:t>i = the intervention. Target population, population-in-need share, and coverage are all specific to intervention i (OneHealth Tool, Senegal settings).</w:t>
      </w:r>
    </w:p>
    <w:p>
      <w:pPr>
        <w:pStyle w:val="BodyText"/>
      </w:pPr>
      <w: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pPr>
      <w:r>
        <w:t xml:space="preserve">First, an intervention is retained if its primary GBD cause is among the 20 leading causes of DALYs in Senegal (Table 1). 141 of 389 interventions meet this condition; 248 are excluded for not linking to a top-20 cause.</w:t>
      </w:r>
    </w:p>
    <w:p>
      <w:pPr>
        <w:pStyle w:val="BodyText"/>
      </w:pPr>
      <w: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pPr>
      <w: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pPr>
      <w: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pPr>
      <w: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ImageCaption"/>
      </w:pPr>
      <w:r>
        <w:t>Figure 2: Intervention funnel, 389 to 95</w:t>
      </w:r>
    </w:p>
    <w:p>
      <w:pPr>
        <w:pStyle w:val="CaptionedFigure"/>
      </w:pPr>
      <w: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Heading3"/>
      </w:pPr>
      <w:r>
        <w:t>2.2.2 Key metrics and priority-setting method</w:t>
      </w:r>
    </w:p>
    <w:p>
      <w:pPr>
        <w:pStyle w:val="FirstParagraph"/>
      </w:pPr>
      <w:r>
        <w:t xml:space="preserve">Cost-effectiveness is assessed at a cost-effectiveness threshold (CET) of $485 per DALY averted, the Senegal-specific reference value used as the base case for this run,</w:t>
      </w:r>
      <w:r>
        <w:t xml:space="preserve"> with sensitivity scenarios at 50%, 150%, and 200% of that value ($242.50, $727.50, $970).</w:t>
      </w:r>
    </w:p>
    <w:p>
      <w:pPr>
        <w:pStyle w:val="BodyText"/>
      </w:pPr>
      <w: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jc w:val="center"/>
      </w:pPr>
      <m:oMathPara>
        <m:oMath>
          <m:sSub>
            <m:e>
              <m:r>
                <m:rPr/>
                <m:t xml:space="preserve">ICER</m:t>
              </m:r>
            </m:e>
            <m:sub>
              <m:r>
                <m:rPr/>
                <m:t xml:space="preserve">i</m:t>
              </m:r>
            </m:sub>
          </m:sSub>
          <m:r>
            <m:rPr/>
            <m:t xml:space="preserve"> = </m:t>
          </m:r>
          <m:f>
            <m:num>
              <m:sSub>
                <m:e>
                  <m:r>
                    <m:rPr/>
                    <m:t xml:space="preserve">Total cost</m:t>
                  </m:r>
                </m:e>
                <m:sub>
                  <m:r>
                    <m:rPr/>
                    <m:t xml:space="preserve">i</m:t>
                  </m:r>
                </m:sub>
              </m:sSub>
            </m:num>
            <m:den>
              <m:sSub>
                <m:e>
                  <m:r>
                    <m:rPr/>
                    <m:t xml:space="preserve">Total DALYs averted</m:t>
                  </m:r>
                </m:e>
                <m:sub>
                  <m:r>
                    <m:rPr/>
                    <m:t xml:space="preserve">i</m:t>
                  </m:r>
                </m:sub>
              </m:sSub>
            </m:den>
          </m:f>
        </m:oMath>
      </m:oMathPara>
    </w:p>
    <w:p>
      <w:pPr>
        <w:pStyle w:val="SourceNote"/>
      </w:pPr>
      <w:r>
        <w:t>i = the intervention. Total cost and total DALYs averted are both at full (100%) implementation of intervention i's target population.</w:t>
      </w:r>
    </w:p>
    <w:p>
      <w:pPr>
        <w:pStyle w:val="Heading3"/>
      </w:pPr>
      <w:r>
        <w:t>2.2.3 Constrained optimization</w:t>
      </w:r>
    </w:p>
    <w:p>
      <w:pPr>
        <w:pStyle w:val="FirstParagraph"/>
      </w:pPr>
      <w:r>
        <w:t>Constrained optimization selects a coverage level for each intervention to maximize net DALYs averted subject to health-system resource constraints, rather than ranking interventions by ICER and filling a budget top-down (with results in Section 3.2). The two methods are mathematically equivalent whenever the only binding constraint is a single linear budget — the case in the budget-only scenario below; they diverge once health-workforce time constraints are added by cadre, which we illustrate below using workforce data from the published literature pending a Senegal-specific source (see Section 4).</w:t>
      </w:r>
    </w:p>
    <w:p>
      <w:pPr>
        <w:pStyle w:val="BodyText"/>
      </w:pPr>
      <w:r>
        <w:t>We use a provisional consumables budget of $120 million, a working value pending a confirmed MSAS consumables-budget line item</w:t>
      </w:r>
      <w:r>
        <w:rPr>
          <w:rStyle w:val="FootnoteReference"/>
        </w:rPr>
        <w:footnoteReference w:id="42"/>
      </w:r>
      <w:r>
        <w:t xml:space="preserve">; it is not yet expressed in CFA francs or benchmarked against an actual government budget record, and should be read as illustrative of the method rather than as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jc w:val="center"/>
      </w:pPr>
      <m:oMathPara>
        <m:oMath>
          <m:r>
            <m:rPr/>
            <m:t xml:space="preserve">max </m:t>
          </m:r>
          <m:nary>
            <m:naryPr>
              <m:chr m:val="∑"/>
              <m:supHide m:val="1"/>
            </m:naryPr>
            <m:sub>
              <m:r>
                <m:rPr/>
                <m:t xml:space="preserve">i</m:t>
              </m:r>
            </m:sub>
            <m:sup/>
            <m:e>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r>
                <m:rPr/>
                <m:t xml:space="preserve"> × </m:t>
              </m:r>
              <m:sSub>
                <m:e>
                  <m:r>
                    <m:rPr/>
                    <m:t xml:space="preserve">n</m:t>
                  </m:r>
                </m:e>
                <m:sub>
                  <m:r>
                    <m:rPr/>
                    <m:t xml:space="preserve">i</m:t>
                  </m:r>
                </m:sub>
              </m:sSub>
              <m:r>
                <m:rPr/>
                <m:t xml:space="preserve"> × </m:t>
              </m:r>
              <m:sSub>
                <m:e>
                  <m:r>
                    <m:rPr/>
                    <m:t xml:space="preserve">x</m:t>
                  </m:r>
                </m:e>
                <m:sub>
                  <m:r>
                    <m:rPr/>
                    <m:t xml:space="preserve">i</m:t>
                  </m:r>
                </m:sub>
              </m:sSub>
            </m:e>
          </m:nary>
        </m:oMath>
      </m:oMathPara>
    </w:p>
    <w:p>
      <w:pPr>
        <w:pStyle w:val="SourceNote"/>
      </w:pPr>
      <w:r>
        <w:t>i = the intervention; x_i ∈ [0,1] = the coverage share the model solves for; n_i = cases in need; CET = the cost-effectiveness threshold.</w:t>
      </w:r>
    </w:p>
    <w:p>
      <w:pPr>
        <w:jc w:val="center"/>
      </w:pPr>
      <m:oMathPara>
        <m:oMath>
          <m:nary>
            <m:naryPr>
              <m:chr m:val="∑"/>
              <m:supHide m:val="1"/>
            </m:naryPr>
            <m:sub>
              <m:r>
                <m:rPr/>
                <m:t xml:space="preserve">i</m:t>
              </m:r>
            </m:sub>
            <m:sup/>
            <m:e>
              <m:sSub>
                <m:e>
                  <m:r>
                    <m:rPr/>
                    <m:t xml:space="preserve">BudgetCost</m:t>
                  </m:r>
                </m:e>
                <m:sub>
                  <m:r>
                    <m:rPr/>
                    <m:t xml:space="preserve">i</m:t>
                  </m:r>
                </m:sub>
              </m:sSub>
              <m:r>
                <m:rPr/>
                <m:t xml:space="preserve"> × </m:t>
              </m:r>
              <m:sSub>
                <m:e>
                  <m:r>
                    <m:rPr/>
                    <m:t xml:space="preserve">n</m:t>
                  </m:r>
                </m:e>
                <m:sub>
                  <m:r>
                    <m:rPr/>
                    <m:t xml:space="preserve">i</m:t>
                  </m:r>
                </m:sub>
              </m:sSub>
              <m:r>
                <m:rPr/>
                <m:t xml:space="preserve"> × </m:t>
              </m:r>
              <m:sSub>
                <m:e>
                  <m:r>
                    <m:rPr/>
                    <m:t xml:space="preserve">x</m:t>
                  </m:r>
                </m:e>
                <m:sub>
                  <m:r>
                    <m:rPr/>
                    <m:t xml:space="preserve">i</m:t>
                  </m:r>
                </m:sub>
              </m:sSub>
            </m:e>
          </m:nary>
          <m:r>
            <m:rPr/>
            <m:t xml:space="preserve"> ≤ B,     0 ≤ </m:t>
          </m:r>
          <m:sSub>
            <m:e>
              <m:r>
                <m:rPr/>
                <m:t xml:space="preserve">x</m:t>
              </m:r>
            </m:e>
            <m:sub>
              <m:r>
                <m:rPr/>
                <m:t xml:space="preserve">i</m:t>
              </m:r>
            </m:sub>
          </m:sSub>
          <m:r>
            <m:rPr/>
            <m:t xml:space="preserve"> ≤ 1</m:t>
          </m:r>
        </m:oMath>
      </m:oMathPara>
    </w:p>
    <w:p>
      <w:pPr>
        <w:pStyle w:val="SourceNote"/>
      </w:pPr>
      <w:r>
        <w:t>BudgetCost_i = the consumables-cost component of intervention i's price (drugs/commodities only); B = the consumables budget.</w:t>
      </w:r>
    </w:p>
    <w:p>
      <w:pPr>
        <w:pStyle w:val="Heading3"/>
      </w:pPr>
      <w:r>
        <w:t>2.2.4 Distributional cost-effectiveness analysis</w:t>
      </w:r>
    </w:p>
    <w:p>
      <w:pPr>
        <w:pStyle w:val="FirstParagraph"/>
      </w:pPr>
      <w:r>
        <w:t>The distributional cost-effectiveness analysis (DCEA) follows the standard equity-stratified DCEA methodology,</w:t>
      </w:r>
      <w:r>
        <w:t xml:space="preserve"> applied to the 86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t>3. Results / Findings</w:t>
      </w:r>
    </w:p>
    <w:p>
      <w:pPr>
        <w:pStyle w:val="Heading2"/>
      </w:pPr>
      <w:r>
        <w:t>3.1 Cost-effectiveness / priority setting</w:t>
      </w:r>
    </w:p>
    <w:p>
      <w:pPr>
        <w:pStyle w:val="BodyText"/>
      </w:pPr>
      <w:r>
        <w:t xml:space="preserve">At the $485 base case, 86 of 95 interventions have an ICER at or below the threshold, implying a full-implementation budget of $195.7 million. Seven interventions have an ICER above threshold and two have an undefined ICER (zero DALYs averted under full implementation); all nine remain visible in the league table with a negative or undefined net health benefit rather than being removed.</w:t>
      </w:r>
    </w:p>
    <w:p>
      <w:pPr>
        <w:pStyle w:val="BodyText"/>
      </w:pPr>
      <w:r>
        <w:t xml:space="preserve">The five interventions ranked highest by full-implementation net health benefit are malaria treatment for children aged 0-4 (ICER $0.56 per DALY averted, 53.3 million DALYs net benefit), uterotonics for postpartum hemorrhage (ICER $0.05, 4.0 million), the pneumococcal vaccine (ICER $2.55, 1.8 million), and basic and intensive psychosocial treatment with anti-depressant medication for anxiety disorders, tied (ICER $0.76 each, 1.3 million each).</w:t>
      </w:r>
    </w:p>
    <w:p>
      <w:pPr>
        <w:pStyle w:val="BodyText"/>
      </w:pPr>
      <w:r>
        <w:t>Net health benefit, as used in this note, follows the standard net-DALYs-averted convention used in the constrained-optimization health-benefits-package literature:</w:t>
      </w:r>
      <w: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jc w:val="center"/>
      </w:pPr>
      <m:oMathPara>
        <m:oMath>
          <m:sSub>
            <m:e>
              <m:r>
                <m:rPr/>
                <m:t xml:space="preserve">NHB</m:t>
              </m:r>
            </m:e>
            <m:sub>
              <m:r>
                <m:rPr/>
                <m:t xml:space="preserve">i</m:t>
              </m:r>
            </m:sub>
          </m:sSub>
          <m:r>
            <m:rPr/>
            <m:t xml:space="preserve"> = </m:t>
          </m:r>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oMath>
      </m:oMathPara>
    </w:p>
    <w:p>
      <w:pPr>
        <w:pStyle w:val="SourceNote"/>
      </w:pPr>
      <w:r>
        <w:t>i = the intervention. DALYs_i and Cost_i are intervention i's own gross DALYs averted and total cost; CET is the cost-effectiveness threshold ($485/DALY averted, the Senegal reference value used in this note).</w:t>
      </w:r>
    </w:p>
    <w:p>
      <w:pPr>
        <w:pStyle w:val="ImageCaption"/>
      </w:pPr>
      <w:r>
        <w:t>Figure 3: Efficiency frontier: DALYs averted per $1,000 spent, all costed interventions ordered by ICER, coloured by cost-effectiveness at the CET</w:t>
      </w:r>
    </w:p>
    <w:p>
      <w:pPr>
        <w:pStyle w:val="CaptionedFigure"/>
      </w:pPr>
      <w: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Figure 4: Interventions ranked by net health benefit, with cumulative spend</w:t>
      </w:r>
    </w:p>
    <w:p>
      <w:pPr>
        <w:pStyle w:val="CaptionedFigure"/>
      </w:pPr>
      <w: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Raising the CET from $242.50 to $970 widens the affordable package from 76 to 90 of the 95 interventions and the corresponding full-implementation budget from $129.8 million to $199.0 million; total DALYs averted under full implementation rises from 71.2 million to 71.4 million across that range, a 0.4% change against a budget change of 53.3%. The marginal interventions admitted by a higher threshold contribute disproportionately little additional health relative to the budget already committed to the interventions affordable at $242.50.</w:t>
      </w:r>
    </w:p>
    <w:p>
      <w:pPr>
        <w:pStyle w:val="Heading2"/>
      </w:pPr>
      <w:r>
        <w:t>3.2 Constrained optimization</w:t>
      </w:r>
    </w:p>
    <w:p>
      <w:pPr>
        <w:pStyle w:val="BodyText"/>
      </w:pPr>
      <w:r>
        <w:t>Of the 93 league-table interventions with a computable cost, effectiveness, and non-zero case-volume figure, 86 have a positive net health benefit and would be included with no budget constraint at all (Table 4), at a highest ICER of $337.16 and 71.4 million total DALYs averted — the same count found cost-effective by ICER ranking in Section 3.1. Applying the $120 million provisional budget restricts the optimal package to 76 interventions, exhausting 100% of the budget, at a highest included ICER of $198.93; net DALYs averted are essentially unchanged relative to the unconstrained case (70.9 vs 71.0 million net DALYs, 71.1 vs 71.4 million total DALYs averted). An additional $1,000 added to the provisional budget would avert a further 2.97 net DALYs at the margin.</w:t>
      </w:r>
    </w:p>
    <w:p>
      <w:pPr>
        <w:pStyle w:val="BodyText"/>
      </w:pPr>
      <w:r>
        <w:t>Table 4: Summary of results from the constrained optimization: no budget constraint vs the provisional $120 million budget</w:t>
      </w:r>
    </w:p>
    <w:tbl>
      <w:tblPr>
        <w:tblW w:type="auto" w:w="0"/>
        <w:tblLook w:firstColumn="1" w:firstRow="1" w:lastColumn="0" w:lastRow="0" w:noHBand="0" w:noVBand="1" w:val="04A0"/>
      </w:tblPr>
      <w:tblGrid>
        <w:gridCol w:w="3120"/>
        <w:gridCol w:w="3120"/>
        <w:gridCol w:w="3120"/>
        <w:gridCol w:w="2268"/>
      </w:tblGrid>
      <w:tr>
        <w:tc>
          <w:tcPr>
            <w:tcW w:type="dxa" w:w="3120"/>
            <w:tcBorders>
              <w:top w:val="single" w:sz="8" w:space="0" w:color="000000"/>
              <w:bottom w:val="single" w:sz="8" w:space="0" w:color="000000"/>
            </w:tcBorders>
          </w:tcPr>
          <w:p>
            <w:r>
              <w:rPr>
                <w:b/>
                <w:color w:val="000066"/>
              </w:rPr>
              <w:t>Metric</w:t>
            </w:r>
          </w:p>
        </w:tc>
        <w:tc>
          <w:tcPr>
            <w:tcW w:type="dxa" w:w="3120"/>
            <w:tcBorders>
              <w:top w:val="single" w:sz="8" w:space="0" w:color="000000"/>
              <w:bottom w:val="single" w:sz="8" w:space="0" w:color="000000"/>
            </w:tcBorders>
          </w:tcPr>
          <w:p>
            <w:r>
              <w:rPr>
                <w:b/>
                <w:color w:val="000066"/>
              </w:rPr>
              <w:t>No budget constraint (CET only)</w:t>
            </w:r>
          </w:p>
        </w:tc>
        <w:tc>
          <w:tcPr>
            <w:tcW w:type="dxa" w:w="3120"/>
            <w:tcBorders>
              <w:top w:val="single" w:sz="8" w:space="0" w:color="000000"/>
              <w:bottom w:val="single" w:sz="8" w:space="0" w:color="000000"/>
            </w:tcBorders>
          </w:tcPr>
          <w:p>
            <w:r>
              <w:rPr>
                <w:b/>
                <w:color w:val="000066"/>
              </w:rPr>
              <w:t>Provisional budget ($120M)</w:t>
            </w:r>
          </w:p>
        </w:tc>
        <w:tc>
          <w:tcPr>
            <w:tcW w:type="dxa" w:w="2268"/>
            <w:tcBorders>
              <w:top w:val="single" w:sz="8" w:space="0" w:color="000000"/>
              <w:bottom w:val="single" w:sz="8" w:space="0" w:color="000000"/>
            </w:tcBorders>
          </w:tcPr>
          <w:p>
            <w:r>
              <w:rPr>
                <w:b/>
                <w:color w:val="000066"/>
              </w:rPr>
              <w:t>Illustrative scenario (literature-based workforce data)</w:t>
            </w:r>
          </w:p>
        </w:tc>
      </w:tr>
      <w:tr>
        <w:tc>
          <w:tcPr>
            <w:tcW w:type="dxa" w:w="3120"/>
          </w:tcPr>
          <w:p>
            <w:r>
              <w:t>Number of interventions with positive net health benefit</w:t>
            </w:r>
          </w:p>
        </w:tc>
        <w:tc>
          <w:tcPr>
            <w:tcW w:type="dxa" w:w="3120"/>
          </w:tcPr>
          <w:p>
            <w:r>
              <w:t>86</w:t>
            </w:r>
          </w:p>
        </w:tc>
        <w:tc>
          <w:tcPr>
            <w:tcW w:type="dxa" w:w="3120"/>
          </w:tcPr>
          <w:p>
            <w:r>
              <w:t>86</w:t>
            </w:r>
          </w:p>
        </w:tc>
        <w:tc>
          <w:tcPr>
            <w:tcW w:type="dxa" w:w="2268"/>
          </w:tcPr>
          <w:p>
            <w:r>
              <w:t>61</w:t>
            </w:r>
          </w:p>
        </w:tc>
      </w:tr>
      <w:tr>
        <w:tc>
          <w:tcPr>
            <w:tcW w:type="dxa" w:w="3120"/>
          </w:tcPr>
          <w:p>
            <w:r>
              <w:t>Number of interventions in the optimal package</w:t>
            </w:r>
          </w:p>
        </w:tc>
        <w:tc>
          <w:tcPr>
            <w:tcW w:type="dxa" w:w="3120"/>
          </w:tcPr>
          <w:p>
            <w:r>
              <w:t>86</w:t>
            </w:r>
          </w:p>
        </w:tc>
        <w:tc>
          <w:tcPr>
            <w:tcW w:type="dxa" w:w="3120"/>
          </w:tcPr>
          <w:p>
            <w:r>
              <w:t>76</w:t>
            </w:r>
          </w:p>
        </w:tc>
        <w:tc>
          <w:tcPr>
            <w:tcW w:type="dxa" w:w="2268"/>
          </w:tcPr>
          <w:p>
            <w:r>
              <w:t>46</w:t>
            </w:r>
          </w:p>
        </w:tc>
      </w:tr>
      <w:tr>
        <w:tc>
          <w:tcPr>
            <w:tcW w:type="dxa" w:w="3120"/>
          </w:tcPr>
          <w:p>
            <w:r>
              <w:t>Net DALYs averted</w:t>
            </w:r>
          </w:p>
        </w:tc>
        <w:tc>
          <w:tcPr>
            <w:tcW w:type="dxa" w:w="3120"/>
          </w:tcPr>
          <w:p>
            <w:r>
              <w:t>71,026,613</w:t>
            </w:r>
          </w:p>
        </w:tc>
        <w:tc>
          <w:tcPr>
            <w:tcW w:type="dxa" w:w="3120"/>
          </w:tcPr>
          <w:p>
            <w:r>
              <w:t>70,880,811</w:t>
            </w:r>
          </w:p>
        </w:tc>
        <w:tc>
          <w:tcPr>
            <w:tcW w:type="dxa" w:w="2268"/>
          </w:tcPr>
          <w:p>
            <w:r>
              <w:t>68,913,976</w:t>
            </w:r>
          </w:p>
        </w:tc>
      </w:tr>
      <w:tr>
        <w:tc>
          <w:tcPr>
            <w:tcW w:type="dxa" w:w="3120"/>
          </w:tcPr>
          <w:p>
            <w:r>
              <w:t>Total DALYs averted</w:t>
            </w:r>
          </w:p>
        </w:tc>
        <w:tc>
          <w:tcPr>
            <w:tcW w:type="dxa" w:w="3120"/>
          </w:tcPr>
          <w:p>
            <w:r>
              <w:t>71,430,098</w:t>
            </w:r>
          </w:p>
        </w:tc>
        <w:tc>
          <w:tcPr>
            <w:tcW w:type="dxa" w:w="3120"/>
          </w:tcPr>
          <w:p>
            <w:r>
              <w:t>71,128,233</w:t>
            </w:r>
          </w:p>
        </w:tc>
        <w:tc>
          <w:tcPr>
            <w:tcW w:type="dxa" w:w="2268"/>
          </w:tcPr>
          <w:p>
            <w:r>
              <w:t>69,161,399</w:t>
            </w:r>
          </w:p>
        </w:tc>
      </w:tr>
      <w:tr>
        <w:tc>
          <w:tcPr>
            <w:tcW w:type="dxa" w:w="3120"/>
          </w:tcPr>
          <w:p>
            <w:r>
              <w:t>Highest ICER in the optimal package ($)</w:t>
            </w:r>
          </w:p>
        </w:tc>
        <w:tc>
          <w:tcPr>
            <w:tcW w:type="dxa" w:w="3120"/>
          </w:tcPr>
          <w:p>
            <w:r>
              <w:t>337.16</w:t>
            </w:r>
          </w:p>
        </w:tc>
        <w:tc>
          <w:tcPr>
            <w:tcW w:type="dxa" w:w="3120"/>
          </w:tcPr>
          <w:p>
            <w:r>
              <w:t>198.93</w:t>
            </w:r>
          </w:p>
        </w:tc>
        <w:tc>
          <w:tcPr>
            <w:tcW w:type="dxa" w:w="2268"/>
          </w:tcPr>
          <w:p>
            <w:r>
              <w:t>198.93</w:t>
            </w:r>
          </w:p>
        </w:tc>
      </w:tr>
      <w:tr>
        <w:tc>
          <w:tcPr>
            <w:tcW w:type="dxa" w:w="3120"/>
            <w:tcBorders>
              <w:bottom w:val="single" w:sz="8" w:space="0" w:color="000000"/>
            </w:tcBorders>
          </w:tcPr>
          <w:p>
            <w:r>
              <w:t>Percentage of consumables budget required</w:t>
            </w:r>
          </w:p>
        </w:tc>
        <w:tc>
          <w:tcPr>
            <w:tcW w:type="dxa" w:w="3120"/>
            <w:tcBorders>
              <w:bottom w:val="single" w:sz="8" w:space="0" w:color="000000"/>
            </w:tcBorders>
          </w:tcPr>
          <w:p>
            <w:r>
              <w:t>—</w:t>
            </w:r>
          </w:p>
        </w:tc>
        <w:tc>
          <w:tcPr>
            <w:tcW w:type="dxa" w:w="3120"/>
            <w:tcBorders>
              <w:bottom w:val="single" w:sz="8" w:space="0" w:color="000000"/>
            </w:tcBorders>
          </w:tcPr>
          <w:p>
            <w:r>
              <w:t>100%</w:t>
            </w:r>
          </w:p>
        </w:tc>
        <w:tc>
          <w:tcPr>
            <w:tcW w:type="dxa" w:w="2268"/>
          </w:tcPr>
          <w:p>
            <w:r>
              <w:t>100%</w:t>
            </w:r>
          </w:p>
        </w:tc>
      </w:tr>
      <w:tr>
        <w:tc>
          <w:tcPr>
            <w:tcW w:type="dxa" w:w="3120"/>
          </w:tcPr>
          <w:p>
            <w:r>
              <w:t>Doctor/Clinical officer capacity used (%)</w:t>
            </w:r>
          </w:p>
        </w:tc>
        <w:tc>
          <w:tcPr>
            <w:tcW w:type="dxa" w:w="3120"/>
          </w:tcPr>
          <w:p>
            <w:r>
              <w:t>-</w:t>
            </w:r>
          </w:p>
        </w:tc>
        <w:tc>
          <w:tcPr>
            <w:tcW w:type="dxa" w:w="3120"/>
          </w:tcPr>
          <w:p>
            <w:r>
              <w:t>-</w:t>
            </w:r>
          </w:p>
        </w:tc>
        <w:tc>
          <w:tcPr>
            <w:tcW w:type="dxa" w:w="2268"/>
          </w:tcPr>
          <w:p>
            <w:r>
              <w:t>49.3%</w:t>
            </w:r>
          </w:p>
        </w:tc>
      </w:tr>
      <w:tr>
        <w:tc>
          <w:tcPr>
            <w:tcW w:type="dxa" w:w="3120"/>
          </w:tcPr>
          <w:p>
            <w:r>
              <w:t>Nursing staff capacity used (%)</w:t>
            </w:r>
          </w:p>
        </w:tc>
        <w:tc>
          <w:tcPr>
            <w:tcW w:type="dxa" w:w="3120"/>
          </w:tcPr>
          <w:p>
            <w:r>
              <w:t>-</w:t>
            </w:r>
          </w:p>
        </w:tc>
        <w:tc>
          <w:tcPr>
            <w:tcW w:type="dxa" w:w="3120"/>
          </w:tcPr>
          <w:p>
            <w:r>
              <w:t>-</w:t>
            </w:r>
          </w:p>
        </w:tc>
        <w:tc>
          <w:tcPr>
            <w:tcW w:type="dxa" w:w="2268"/>
          </w:tcPr>
          <w:p>
            <w:r>
              <w:t>21.7%</w:t>
            </w:r>
          </w:p>
        </w:tc>
      </w:tr>
      <w:tr>
        <w:tc>
          <w:tcPr>
            <w:tcW w:type="dxa" w:w="3120"/>
          </w:tcPr>
          <w:p>
            <w:r>
              <w:t>Pharmaceutical staff capacity used (%)</w:t>
            </w:r>
          </w:p>
        </w:tc>
        <w:tc>
          <w:tcPr>
            <w:tcW w:type="dxa" w:w="3120"/>
          </w:tcPr>
          <w:p>
            <w:r>
              <w:t>-</w:t>
            </w:r>
          </w:p>
        </w:tc>
        <w:tc>
          <w:tcPr>
            <w:tcW w:type="dxa" w:w="3120"/>
          </w:tcPr>
          <w:p>
            <w:r>
              <w:t>-</w:t>
            </w:r>
          </w:p>
        </w:tc>
        <w:tc>
          <w:tcPr>
            <w:tcW w:type="dxa" w:w="2268"/>
          </w:tcPr>
          <w:p>
            <w:r>
              <w:t>100%</w:t>
            </w:r>
          </w:p>
        </w:tc>
      </w:tr>
      <w:tr>
        <w:tc>
          <w:tcPr>
            <w:tcW w:type="dxa" w:w="3120"/>
          </w:tcPr>
          <w:p>
            <w:r>
              <w:t>Laboratory staff capacity used (%)</w:t>
            </w:r>
          </w:p>
        </w:tc>
        <w:tc>
          <w:tcPr>
            <w:tcW w:type="dxa" w:w="3120"/>
          </w:tcPr>
          <w:p>
            <w:r>
              <w:t>-</w:t>
            </w:r>
          </w:p>
        </w:tc>
        <w:tc>
          <w:tcPr>
            <w:tcW w:type="dxa" w:w="3120"/>
          </w:tcPr>
          <w:p>
            <w:r>
              <w:t>-</w:t>
            </w:r>
          </w:p>
        </w:tc>
        <w:tc>
          <w:tcPr>
            <w:tcW w:type="dxa" w:w="2268"/>
          </w:tcPr>
          <w:p>
            <w:r>
              <w:t>2.1%</w:t>
            </w:r>
          </w:p>
        </w:tc>
      </w:tr>
      <w:tr>
        <w:tc>
          <w:tcPr>
            <w:tcW w:type="dxa" w:w="3120"/>
          </w:tcPr>
          <w:p>
            <w:r>
              <w:t>Dental staff capacity used (%)</w:t>
            </w:r>
          </w:p>
        </w:tc>
        <w:tc>
          <w:tcPr>
            <w:tcW w:type="dxa" w:w="3120"/>
          </w:tcPr>
          <w:p>
            <w:r>
              <w:t>-</w:t>
            </w:r>
          </w:p>
        </w:tc>
        <w:tc>
          <w:tcPr>
            <w:tcW w:type="dxa" w:w="3120"/>
          </w:tcPr>
          <w:p>
            <w:r>
              <w:t>-</w:t>
            </w:r>
          </w:p>
        </w:tc>
        <w:tc>
          <w:tcPr>
            <w:tcW w:type="dxa" w:w="2268"/>
          </w:tcPr>
          <w:p>
            <w:r>
              <w:t>0%</w:t>
            </w:r>
          </w:p>
        </w:tc>
      </w:tr>
      <w:tr>
        <w:tc>
          <w:tcPr>
            <w:tcW w:type="dxa" w:w="3120"/>
          </w:tcPr>
          <w:p>
            <w:r>
              <w:t>Mental health staff capacity used (%)</w:t>
            </w:r>
          </w:p>
        </w:tc>
        <w:tc>
          <w:tcPr>
            <w:tcW w:type="dxa" w:w="3120"/>
          </w:tcPr>
          <w:p>
            <w:r>
              <w:t>-</w:t>
            </w:r>
          </w:p>
        </w:tc>
        <w:tc>
          <w:tcPr>
            <w:tcW w:type="dxa" w:w="3120"/>
          </w:tcPr>
          <w:p>
            <w:r>
              <w:t>-</w:t>
            </w:r>
          </w:p>
        </w:tc>
        <w:tc>
          <w:tcPr>
            <w:tcW w:type="dxa" w:w="2268"/>
          </w:tcPr>
          <w:p>
            <w:r>
              <w:t>100%</w:t>
            </w:r>
          </w:p>
        </w:tc>
      </w:tr>
      <w:tr>
        <w:tc>
          <w:tcPr>
            <w:tcW w:type="dxa" w:w="3120"/>
          </w:tcPr>
          <w:p>
            <w:r>
              <w:t>Nutrition staff capacity used (%)</w:t>
            </w:r>
          </w:p>
        </w:tc>
        <w:tc>
          <w:tcPr>
            <w:tcW w:type="dxa" w:w="3120"/>
          </w:tcPr>
          <w:p>
            <w:r>
              <w:t>-</w:t>
            </w:r>
          </w:p>
        </w:tc>
        <w:tc>
          <w:tcPr>
            <w:tcW w:type="dxa" w:w="3120"/>
          </w:tcPr>
          <w:p>
            <w:r>
              <w:t>-</w:t>
            </w:r>
          </w:p>
        </w:tc>
        <w:tc>
          <w:tcPr>
            <w:tcW w:type="dxa" w:w="2268"/>
          </w:tcPr>
          <w:p>
            <w:r>
              <w:t>0%</w:t>
            </w:r>
          </w:p>
        </w:tc>
      </w:tr>
      <w:tr>
        <w:tc>
          <w:tcPr>
            <w:tcW w:type="dxa" w:w="3120"/>
            <w:tcBorders>
              <w:bottom w:val="single" w:sz="8" w:space="0" w:color="000000"/>
            </w:tcBorders>
          </w:tcPr>
          <w:p>
            <w:r>
              <w:t>Diagnostic imaging staff capacity used (%)</w:t>
            </w:r>
          </w:p>
        </w:tc>
        <w:tc>
          <w:tcPr>
            <w:tcW w:type="dxa" w:w="3120"/>
            <w:tcBorders>
              <w:bottom w:val="single" w:sz="8" w:space="0" w:color="000000"/>
            </w:tcBorders>
          </w:tcPr>
          <w:p>
            <w:r>
              <w:t>-</w:t>
            </w:r>
          </w:p>
        </w:tc>
        <w:tc>
          <w:tcPr>
            <w:tcW w:type="dxa" w:w="3120"/>
            <w:tcBorders>
              <w:bottom w:val="single" w:sz="8" w:space="0" w:color="000000"/>
            </w:tcBorders>
          </w:tcPr>
          <w:p>
            <w:r>
              <w:t>-</w:t>
            </w:r>
          </w:p>
        </w:tc>
        <w:tc>
          <w:tcPr>
            <w:tcW w:type="dxa" w:w="2268"/>
            <w:tcBorders>
              <w:bottom w:val="single" w:sz="8" w:space="0" w:color="000000"/>
            </w:tcBorders>
          </w:tcPr>
          <w:p>
            <w:r>
              <w:t>0%</w:t>
            </w:r>
          </w:p>
        </w:tc>
      </w:tr>
    </w:tbl>
    <w:p>
      <w:pPr>
        <w:pStyle w:val="BodyText"/>
      </w:pPr>
      <w:r>
        <w:t>The illustrative literature-based-workforce scenario retains 46 of the 68 interventions with complete workforce data (against the same $120 million budget), a smaller package than the budget-only scenarios because pharmaceutical and mental-health staff time — not money — become the binding constraint, at 100% of the literature-derived capacity assumed; doctor/clinical-officer and nursing time remain under half used. This is the kind of bottleneck a budget-only analysis cannot show at all, and is the main reason to extend this method to Senegal-specific workforce data once available.</w:t>
      </w:r>
    </w:p>
    <w:p>
      <w:pPr>
        <w:pStyle w:val="BodyText"/>
      </w:pPr>
      <w:r>
        <w:t>By disease program, the provisional-budget package is concentrated in tuberculosis (27 of 34 candidate interventions, 79%) and maternal/newborn and reproductive health (18 of 20, 90%), with malaria and nutrition retained at only half of their candidate interventions (Table 5); the corresponding consumables spend is led by non-communicable diseases (44.8% of the provisional budget) and child health (29.8%), with every other program below 7% (Figure, below).</w:t>
      </w:r>
    </w:p>
    <w:p>
      <w:pPr>
        <w:pStyle w:val="BodyText"/>
      </w:pPr>
      <w:r>
        <w:t>Table 5: Rate of inclusion of interventions from different disease programs in the optimal package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000000"/>
              <w:bottom w:val="single" w:sz="8" w:space="0" w:color="000000"/>
            </w:tcBorders>
          </w:tcPr>
          <w:p>
            <w:r>
              <w:rPr>
                <w:b/>
                <w:color w:val="000066"/>
              </w:rPr>
              <w:t>Program</w:t>
            </w:r>
          </w:p>
        </w:tc>
        <w:tc>
          <w:tcPr>
            <w:tcW w:type="dxa" w:w="1560"/>
            <w:tcBorders>
              <w:top w:val="single" w:sz="8" w:space="0" w:color="000000"/>
              <w:bottom w:val="single" w:sz="8" w:space="0" w:color="000000"/>
            </w:tcBorders>
          </w:tcPr>
          <w:p>
            <w:r>
              <w:rPr>
                <w:b/>
                <w:color w:val="000066"/>
              </w:rPr>
              <w:t>Interventions considered</w:t>
            </w:r>
          </w:p>
        </w:tc>
        <w:tc>
          <w:tcPr>
            <w:tcW w:type="dxa" w:w="1560"/>
            <w:tcBorders>
              <w:top w:val="single" w:sz="8" w:space="0" w:color="000000"/>
              <w:bottom w:val="single" w:sz="8" w:space="0" w:color="000000"/>
            </w:tcBorders>
          </w:tcPr>
          <w:p>
            <w:r>
              <w:rPr>
                <w:b/>
                <w:color w:val="000066"/>
              </w:rPr>
              <w:t>No budget constraint: included</w:t>
            </w:r>
          </w:p>
        </w:tc>
        <w:tc>
          <w:tcPr>
            <w:tcW w:type="dxa" w:w="1560"/>
            <w:tcBorders>
              <w:top w:val="single" w:sz="8" w:space="0" w:color="000000"/>
              <w:bottom w:val="single" w:sz="8" w:space="0" w:color="000000"/>
            </w:tcBorders>
          </w:tcPr>
          <w:p>
            <w:r>
              <w:rPr>
                <w:b/>
                <w:color w:val="000066"/>
              </w:rPr>
              <w:t>No budget constraint: %</w:t>
            </w:r>
          </w:p>
        </w:tc>
        <w:tc>
          <w:tcPr>
            <w:tcW w:type="dxa" w:w="1560"/>
            <w:tcBorders>
              <w:top w:val="single" w:sz="8" w:space="0" w:color="000000"/>
              <w:bottom w:val="single" w:sz="8" w:space="0" w:color="000000"/>
            </w:tcBorders>
          </w:tcPr>
          <w:p>
            <w:r>
              <w:rPr>
                <w:b/>
                <w:color w:val="000066"/>
              </w:rPr>
              <w:t>Provisional budget: included</w:t>
            </w:r>
          </w:p>
        </w:tc>
        <w:tc>
          <w:tcPr>
            <w:tcW w:type="dxa" w:w="1560"/>
            <w:tcBorders>
              <w:top w:val="single" w:sz="8" w:space="0" w:color="000000"/>
              <w:bottom w:val="single" w:sz="8" w:space="0" w:color="000000"/>
            </w:tcBorders>
          </w:tcPr>
          <w:p>
            <w:r>
              <w:rPr>
                <w:b/>
                <w:color w:val="000066"/>
              </w:rPr>
              <w:t>Provisional budget: %</w:t>
            </w:r>
          </w:p>
        </w:tc>
      </w:tr>
      <w:tr>
        <w:tc>
          <w:tcPr>
            <w:tcW w:type="dxa" w:w="1560"/>
          </w:tcPr>
          <w:p>
            <w:r>
              <w:t>Child health</w:t>
            </w:r>
          </w:p>
        </w:tc>
        <w:tc>
          <w:tcPr>
            <w:tcW w:type="dxa" w:w="1560"/>
          </w:tcPr>
          <w:p>
            <w:r>
              <w:t>10</w:t>
            </w:r>
          </w:p>
        </w:tc>
        <w:tc>
          <w:tcPr>
            <w:tcW w:type="dxa" w:w="1560"/>
          </w:tcPr>
          <w:p>
            <w:r>
              <w:t>9</w:t>
            </w:r>
          </w:p>
        </w:tc>
        <w:tc>
          <w:tcPr>
            <w:tcW w:type="dxa" w:w="1560"/>
          </w:tcPr>
          <w:p>
            <w:r>
              <w:t>90%</w:t>
            </w:r>
          </w:p>
        </w:tc>
        <w:tc>
          <w:tcPr>
            <w:tcW w:type="dxa" w:w="1560"/>
          </w:tcPr>
          <w:p>
            <w:r>
              <w:t>9</w:t>
            </w:r>
          </w:p>
        </w:tc>
        <w:tc>
          <w:tcPr>
            <w:tcW w:type="dxa" w:w="1560"/>
          </w:tcPr>
          <w:p>
            <w:r>
              <w:t>90%</w:t>
            </w:r>
          </w:p>
        </w:tc>
      </w:tr>
      <w:tr>
        <w:tc>
          <w:tcPr>
            <w:tcW w:type="dxa" w:w="1560"/>
          </w:tcPr>
          <w:p>
            <w:r>
              <w:t>HIV/AIDS</w:t>
            </w:r>
          </w:p>
        </w:tc>
        <w:tc>
          <w:tcPr>
            <w:tcW w:type="dxa" w:w="1560"/>
          </w:tcPr>
          <w:p>
            <w:r>
              <w:t>6</w:t>
            </w:r>
          </w:p>
        </w:tc>
        <w:tc>
          <w:tcPr>
            <w:tcW w:type="dxa" w:w="1560"/>
          </w:tcPr>
          <w:p>
            <w:r>
              <w:t>5</w:t>
            </w:r>
          </w:p>
        </w:tc>
        <w:tc>
          <w:tcPr>
            <w:tcW w:type="dxa" w:w="1560"/>
          </w:tcPr>
          <w:p>
            <w:r>
              <w:t>83%</w:t>
            </w:r>
          </w:p>
        </w:tc>
        <w:tc>
          <w:tcPr>
            <w:tcW w:type="dxa" w:w="1560"/>
          </w:tcPr>
          <w:p>
            <w:r>
              <w:t>5</w:t>
            </w:r>
          </w:p>
        </w:tc>
        <w:tc>
          <w:tcPr>
            <w:tcW w:type="dxa" w:w="1560"/>
          </w:tcPr>
          <w:p>
            <w:r>
              <w:t>83%</w:t>
            </w:r>
          </w:p>
        </w:tc>
      </w:tr>
      <w:tr>
        <w:tc>
          <w:tcPr>
            <w:tcW w:type="dxa" w:w="1560"/>
          </w:tcPr>
          <w:p>
            <w:r>
              <w:t>Immunization</w:t>
            </w:r>
          </w:p>
        </w:tc>
        <w:tc>
          <w:tcPr>
            <w:tcW w:type="dxa" w:w="1560"/>
          </w:tcPr>
          <w:p>
            <w:r>
              <w:t>3</w:t>
            </w:r>
          </w:p>
        </w:tc>
        <w:tc>
          <w:tcPr>
            <w:tcW w:type="dxa" w:w="1560"/>
          </w:tcPr>
          <w:p>
            <w:r>
              <w:t>3</w:t>
            </w:r>
          </w:p>
        </w:tc>
        <w:tc>
          <w:tcPr>
            <w:tcW w:type="dxa" w:w="1560"/>
          </w:tcPr>
          <w:p>
            <w:r>
              <w:t>100%</w:t>
            </w:r>
          </w:p>
        </w:tc>
        <w:tc>
          <w:tcPr>
            <w:tcW w:type="dxa" w:w="1560"/>
          </w:tcPr>
          <w:p>
            <w:r>
              <w:t>3</w:t>
            </w:r>
          </w:p>
        </w:tc>
        <w:tc>
          <w:tcPr>
            <w:tcW w:type="dxa" w:w="1560"/>
          </w:tcPr>
          <w:p>
            <w:r>
              <w:t>100%</w:t>
            </w:r>
          </w:p>
        </w:tc>
      </w:tr>
      <w:tr>
        <w:tc>
          <w:tcPr>
            <w:tcW w:type="dxa" w:w="1560"/>
          </w:tcPr>
          <w:p>
            <w:r>
              <w:t>Malaria</w:t>
            </w:r>
          </w:p>
        </w:tc>
        <w:tc>
          <w:tcPr>
            <w:tcW w:type="dxa" w:w="1560"/>
          </w:tcPr>
          <w:p>
            <w:r>
              <w:t>2</w:t>
            </w:r>
          </w:p>
        </w:tc>
        <w:tc>
          <w:tcPr>
            <w:tcW w:type="dxa" w:w="1560"/>
          </w:tcPr>
          <w:p>
            <w:r>
              <w:t>2</w:t>
            </w:r>
          </w:p>
        </w:tc>
        <w:tc>
          <w:tcPr>
            <w:tcW w:type="dxa" w:w="1560"/>
          </w:tcPr>
          <w:p>
            <w:r>
              <w:t>100%</w:t>
            </w:r>
          </w:p>
        </w:tc>
        <w:tc>
          <w:tcPr>
            <w:tcW w:type="dxa" w:w="1560"/>
          </w:tcPr>
          <w:p>
            <w:r>
              <w:t>1</w:t>
            </w:r>
          </w:p>
        </w:tc>
        <w:tc>
          <w:tcPr>
            <w:tcW w:type="dxa" w:w="1560"/>
          </w:tcPr>
          <w:p>
            <w:r>
              <w:t>50%</w:t>
            </w:r>
          </w:p>
        </w:tc>
      </w:tr>
      <w:tr>
        <w:tc>
          <w:tcPr>
            <w:tcW w:type="dxa" w:w="1560"/>
          </w:tcPr>
          <w:p>
            <w:r>
              <w:t>Maternal/newborn and reproductive health</w:t>
            </w:r>
          </w:p>
        </w:tc>
        <w:tc>
          <w:tcPr>
            <w:tcW w:type="dxa" w:w="1560"/>
          </w:tcPr>
          <w:p>
            <w:r>
              <w:t>20</w:t>
            </w:r>
          </w:p>
        </w:tc>
        <w:tc>
          <w:tcPr>
            <w:tcW w:type="dxa" w:w="1560"/>
          </w:tcPr>
          <w:p>
            <w:r>
              <w:t>19</w:t>
            </w:r>
          </w:p>
        </w:tc>
        <w:tc>
          <w:tcPr>
            <w:tcW w:type="dxa" w:w="1560"/>
          </w:tcPr>
          <w:p>
            <w:r>
              <w:t>95%</w:t>
            </w:r>
          </w:p>
        </w:tc>
        <w:tc>
          <w:tcPr>
            <w:tcW w:type="dxa" w:w="1560"/>
          </w:tcPr>
          <w:p>
            <w:r>
              <w:t>18</w:t>
            </w:r>
          </w:p>
        </w:tc>
        <w:tc>
          <w:tcPr>
            <w:tcW w:type="dxa" w:w="1560"/>
          </w:tcPr>
          <w:p>
            <w:r>
              <w:t>90%</w:t>
            </w:r>
          </w:p>
        </w:tc>
      </w:tr>
      <w:tr>
        <w:tc>
          <w:tcPr>
            <w:tcW w:type="dxa" w:w="1560"/>
          </w:tcPr>
          <w:p>
            <w:r>
              <w:t>Mental, neurological, and substance use disorders</w:t>
            </w:r>
          </w:p>
        </w:tc>
        <w:tc>
          <w:tcPr>
            <w:tcW w:type="dxa" w:w="1560"/>
          </w:tcPr>
          <w:p>
            <w:r>
              <w:t>6</w:t>
            </w:r>
          </w:p>
        </w:tc>
        <w:tc>
          <w:tcPr>
            <w:tcW w:type="dxa" w:w="1560"/>
          </w:tcPr>
          <w:p>
            <w:r>
              <w:t>6</w:t>
            </w:r>
          </w:p>
        </w:tc>
        <w:tc>
          <w:tcPr>
            <w:tcW w:type="dxa" w:w="1560"/>
          </w:tcPr>
          <w:p>
            <w:r>
              <w:t>100%</w:t>
            </w:r>
          </w:p>
        </w:tc>
        <w:tc>
          <w:tcPr>
            <w:tcW w:type="dxa" w:w="1560"/>
          </w:tcPr>
          <w:p>
            <w:r>
              <w:t>6</w:t>
            </w:r>
          </w:p>
        </w:tc>
        <w:tc>
          <w:tcPr>
            <w:tcW w:type="dxa" w:w="1560"/>
          </w:tcPr>
          <w:p>
            <w:r>
              <w:t>100%</w:t>
            </w:r>
          </w:p>
        </w:tc>
      </w:tr>
      <w:tr>
        <w:tc>
          <w:tcPr>
            <w:tcW w:type="dxa" w:w="1560"/>
          </w:tcPr>
          <w:p>
            <w:r>
              <w:t>Non-communicable diseases</w:t>
            </w:r>
          </w:p>
        </w:tc>
        <w:tc>
          <w:tcPr>
            <w:tcW w:type="dxa" w:w="1560"/>
          </w:tcPr>
          <w:p>
            <w:r>
              <w:t>6</w:t>
            </w:r>
          </w:p>
        </w:tc>
        <w:tc>
          <w:tcPr>
            <w:tcW w:type="dxa" w:w="1560"/>
          </w:tcPr>
          <w:p>
            <w:r>
              <w:t>5</w:t>
            </w:r>
          </w:p>
        </w:tc>
        <w:tc>
          <w:tcPr>
            <w:tcW w:type="dxa" w:w="1560"/>
          </w:tcPr>
          <w:p>
            <w:r>
              <w:t>83%</w:t>
            </w:r>
          </w:p>
        </w:tc>
        <w:tc>
          <w:tcPr>
            <w:tcW w:type="dxa" w:w="1560"/>
          </w:tcPr>
          <w:p>
            <w:r>
              <w:t>4</w:t>
            </w:r>
          </w:p>
        </w:tc>
        <w:tc>
          <w:tcPr>
            <w:tcW w:type="dxa" w:w="1560"/>
          </w:tcPr>
          <w:p>
            <w:r>
              <w:t>67%</w:t>
            </w:r>
          </w:p>
        </w:tc>
      </w:tr>
      <w:tr>
        <w:tc>
          <w:tcPr>
            <w:tcW w:type="dxa" w:w="1560"/>
          </w:tcPr>
          <w:p>
            <w:r>
              <w:t>Nutrition</w:t>
            </w:r>
          </w:p>
        </w:tc>
        <w:tc>
          <w:tcPr>
            <w:tcW w:type="dxa" w:w="1560"/>
          </w:tcPr>
          <w:p>
            <w:r>
              <w:t>6</w:t>
            </w:r>
          </w:p>
        </w:tc>
        <w:tc>
          <w:tcPr>
            <w:tcW w:type="dxa" w:w="1560"/>
          </w:tcPr>
          <w:p>
            <w:r>
              <w:t>3</w:t>
            </w:r>
          </w:p>
        </w:tc>
        <w:tc>
          <w:tcPr>
            <w:tcW w:type="dxa" w:w="1560"/>
          </w:tcPr>
          <w:p>
            <w:r>
              <w:t>50%</w:t>
            </w:r>
          </w:p>
        </w:tc>
        <w:tc>
          <w:tcPr>
            <w:tcW w:type="dxa" w:w="1560"/>
          </w:tcPr>
          <w:p>
            <w:r>
              <w:t>3</w:t>
            </w:r>
          </w:p>
        </w:tc>
        <w:tc>
          <w:tcPr>
            <w:tcW w:type="dxa" w:w="1560"/>
          </w:tcPr>
          <w:p>
            <w:r>
              <w:t>50%</w:t>
            </w:r>
          </w:p>
        </w:tc>
      </w:tr>
      <w:tr>
        <w:tc>
          <w:tcPr>
            <w:tcW w:type="dxa" w:w="1560"/>
          </w:tcPr>
          <w:p>
            <w:r>
              <w:t>TB</w:t>
            </w:r>
          </w:p>
        </w:tc>
        <w:tc>
          <w:tcPr>
            <w:tcW w:type="dxa" w:w="1560"/>
          </w:tcPr>
          <w:p>
            <w:r>
              <w:t>34</w:t>
            </w:r>
          </w:p>
        </w:tc>
        <w:tc>
          <w:tcPr>
            <w:tcW w:type="dxa" w:w="1560"/>
          </w:tcPr>
          <w:p>
            <w:r>
              <w:t>34</w:t>
            </w:r>
          </w:p>
        </w:tc>
        <w:tc>
          <w:tcPr>
            <w:tcW w:type="dxa" w:w="1560"/>
          </w:tcPr>
          <w:p>
            <w:r>
              <w:t>100%</w:t>
            </w:r>
          </w:p>
        </w:tc>
        <w:tc>
          <w:tcPr>
            <w:tcW w:type="dxa" w:w="1560"/>
          </w:tcPr>
          <w:p>
            <w:r>
              <w:t>27</w:t>
            </w:r>
          </w:p>
        </w:tc>
        <w:tc>
          <w:tcPr>
            <w:tcW w:type="dxa" w:w="1560"/>
          </w:tcPr>
          <w:p>
            <w:r>
              <w:t>79%</w:t>
            </w:r>
          </w:p>
        </w:tc>
      </w:tr>
      <w:tr>
        <w:tc>
          <w:tcPr>
            <w:tcW w:type="dxa" w:w="1560"/>
            <w:tcBorders>
              <w:bottom w:val="single" w:sz="8" w:space="0" w:color="000000"/>
            </w:tcBorders>
          </w:tcPr>
          <w:p>
            <w:r>
              <w:t>Grand total</w:t>
            </w:r>
          </w:p>
        </w:tc>
        <w:tc>
          <w:tcPr>
            <w:tcW w:type="dxa" w:w="1560"/>
            <w:tcBorders>
              <w:bottom w:val="single" w:sz="8" w:space="0" w:color="000000"/>
            </w:tcBorders>
          </w:tcPr>
          <w:p>
            <w:r>
              <w:t>93</w:t>
            </w:r>
          </w:p>
        </w:tc>
        <w:tc>
          <w:tcPr>
            <w:tcW w:type="dxa" w:w="1560"/>
            <w:tcBorders>
              <w:bottom w:val="single" w:sz="8" w:space="0" w:color="000000"/>
            </w:tcBorders>
          </w:tcPr>
          <w:p>
            <w:r>
              <w:t>86</w:t>
            </w:r>
          </w:p>
        </w:tc>
        <w:tc>
          <w:tcPr>
            <w:tcW w:type="dxa" w:w="1560"/>
            <w:tcBorders>
              <w:bottom w:val="single" w:sz="8" w:space="0" w:color="000000"/>
            </w:tcBorders>
          </w:tcPr>
          <w:p>
            <w:r>
              <w:t>92%</w:t>
            </w:r>
          </w:p>
        </w:tc>
        <w:tc>
          <w:tcPr>
            <w:tcW w:type="dxa" w:w="1560"/>
            <w:tcBorders>
              <w:bottom w:val="single" w:sz="8" w:space="0" w:color="000000"/>
            </w:tcBorders>
          </w:tcPr>
          <w:p>
            <w:r>
              <w:t>76</w:t>
            </w:r>
          </w:p>
        </w:tc>
        <w:tc>
          <w:tcPr>
            <w:tcW w:type="dxa" w:w="1560"/>
            <w:tcBorders>
              <w:bottom w:val="single" w:sz="8" w:space="0" w:color="000000"/>
            </w:tcBorders>
          </w:tcPr>
          <w:p>
            <w:r>
              <w:t>82%</w:t>
            </w:r>
          </w:p>
        </w:tc>
      </w:tr>
    </w:tbl>
    <w:p>
      <w:pPr>
        <w:pStyle w:val="ImageCaption"/>
      </w:pPr>
      <w:r>
        <w:t>Figure 5: Health-system resource use by program, under the no-budget-constraint and provisional-budget scenarios</w:t>
      </w:r>
    </w:p>
    <w:p>
      <w:pPr>
        <w:pStyle w:val="CaptionedFigure"/>
      </w:pPr>
      <w:r>
        <w:drawing>
          <wp:inline>
            <wp:extent cx="5120640" cy="8534400"/>
            <wp:docPr id="66" name="Picture 66"/>
            <wp:cNvGraphicFramePr>
              <a:graphicFrameLocks noChangeAspect="1"/>
            </wp:cNvGraphicFramePr>
            <a:graphic>
              <a:graphicData uri="http://schemas.openxmlformats.org/drawingml/2006/picture">
                <pic:pic>
                  <pic:nvPicPr>
                    <pic:cNvPr id="0" name="optimization_fig1_budget_use_by_program.png"/>
                    <pic:cNvPicPr/>
                  </pic:nvPicPr>
                  <pic:blipFill>
                    <a:blip r:embed="rId15"/>
                    <a:stretch>
                      <a:fillRect/>
                    </a:stretch>
                  </pic:blipFill>
                  <pic:spPr>
                    <a:xfrm>
                      <a:off x="0" y="0"/>
                      <a:ext cx="5120640" cy="8534400"/>
                    </a:xfrm>
                    <a:prstGeom prst="rect"/>
                  </pic:spPr>
                </pic:pic>
              </a:graphicData>
            </a:graphic>
          </wp:inline>
        </w:drawing>
      </w:r>
    </w:p>
    <w:p>
      <w:pPr>
        <w:pStyle w:val="SourceNote"/>
      </w:pPr>
      <w:r>
        <w:t>Note: percentage of each resource required, by disease program. Scenario (i) exceeds 100% because it funds every cost-effective intervention regardless of the provisional budget. Health-worker-cadre resources are shown as “not yet available” under scenarios (i)-(ii) (no workforce constraint applied there); scenario (iii) is an illustrative run using an external benchmark’s workforce-capacity figures as a stand-in for a Senegal survey that does not exist yet.</w:t>
      </w:r>
    </w:p>
    <w:p>
      <w:pPr>
        <w:pStyle w:val="ImageCaption"/>
      </w:pPr>
      <w:r>
        <w:t>Figure 6: Marginal value of investing $1,000 in different health-system resources, under the no-budget-constraint and provisional-budget scenarios</w:t>
      </w:r>
    </w:p>
    <w:p>
      <w:pPr>
        <w:pStyle w:val="CaptionedFigure"/>
      </w:pPr>
      <w:r>
        <w:drawing>
          <wp:inline>
            <wp:extent cx="5120640" cy="6258560"/>
            <wp:docPr id="67" name="Picture 67"/>
            <wp:cNvGraphicFramePr>
              <a:graphicFrameLocks noChangeAspect="1"/>
            </wp:cNvGraphicFramePr>
            <a:graphic>
              <a:graphicData uri="http://schemas.openxmlformats.org/drawingml/2006/picture">
                <pic:pic>
                  <pic:nvPicPr>
                    <pic:cNvPr id="0" name="optimization_fig2_marginal_value.png"/>
                    <pic:cNvPicPr/>
                  </pic:nvPicPr>
                  <pic:blipFill>
                    <a:blip r:embed="rId16"/>
                    <a:stretch>
                      <a:fillRect/>
                    </a:stretch>
                  </pic:blipFill>
                  <pic:spPr>
                    <a:xfrm>
                      <a:off x="0" y="0"/>
                      <a:ext cx="5120640" cy="6258560"/>
                    </a:xfrm>
                    <a:prstGeom prst="rect"/>
                  </pic:spPr>
                </pic:pic>
              </a:graphicData>
            </a:graphic>
          </wp:inline>
        </w:drawing>
      </w:r>
    </w:p>
    <w:p>
      <w:pPr>
        <w:pStyle w:val="SourceNote"/>
      </w:pPr>
      <w:r>
        <w:t>Note: additional net DALYs averted from $1,000 more of each resource. Scenario (i) is 0 by construction: with no budget constraint, every intervention with a positive net health benefit is already fully covered, so extra budget cannot buy more health. Health-worker-cadre values are not shown: converting $1,000 into cadre time requires a salary figure by cadre, not yet available for this exercise.</w:t>
      </w:r>
    </w:p>
    <w:p>
      <w:pPr>
        <w:pStyle w:val="BodyText"/>
      </w:pPr>
      <w:r>
        <w:t>Scenarios (i)-(ii) reflect a single financial constraint only, with no health-workforce time or capacity constraint by cadre, no task-shifting scenario, and no substitutable or complementary intervention pairs identified (see Section 4 for the full list of gaps and the data needed to close them). Scenario (iii) illustrates the workforce-constrained extension using literature-derived data, pending a Senegal-specific workforce source. The $120 million budget figure is provisional and we will revise it once a confirmed MSAS consumables-budget line item is available; every downstream number in this section moves automatically when we do</w:t>
      </w:r>
      <w:r>
        <w:rPr>
          <w:rStyle w:val="FootnoteReference"/>
        </w:rPr>
        <w:footnoteReference w:id="43"/>
      </w:r>
      <w:r>
        <w:t xml:space="preserve">.</w:t>
      </w:r>
    </w:p>
    <w:p>
      <w:pPr>
        <w:pStyle w:val="Heading2"/>
      </w:pPr>
      <w:r>
        <w:t>3.3 Distributional cost-effectiveness analysis (DCEA)</w:t>
      </w:r>
    </w:p>
    <w:p>
      <w:pPr>
        <w:pStyle w:val="BodyText"/>
      </w:pPr>
      <w:r>
        <w:t xml:space="preserve">Under full implementation, net benefit rises with wealth quintile from 10.0 million DALYs in the poorest quintile (q1) to 19.3 million in the fourth quintile (q4), before falling to 14.0 million in the richest quintile (q5). By residence, net benefit is 36.7 million DALYs in urban areas against 34.3 million in rural areas.</w:t>
      </w:r>
    </w:p>
    <w:p>
      <w:pPr>
        <w:pStyle w:val="BodyText"/>
      </w:pPr>
      <w:r>
        <w:t xml:space="preserve">The Atkinson index records a 9.5 million DALY-equivalent widening of wealth-quintile inequality and a 9.5 million DALY-equivalent narrowing of urban/rural inequality from the package, at ε=10. The package’s net-benefit gradient across wealth quintiles — lowest at the poorest quintile, highest at the fourth — is the source of the wealth-quintile result; its narrower urban/rural gap (36.7 against 34.3 million) is the source of the residence result.</w:t>
      </w:r>
    </w:p>
    <w:p>
      <w:pPr>
        <w:pStyle w:val="ImageCaption"/>
      </w:pPr>
      <w:r>
        <w:t>Figure 7: Health equity impact plane, wealth quintile</w:t>
      </w:r>
    </w:p>
    <w:p>
      <w:pPr>
        <w:pStyle w:val="CaptionedFigure"/>
      </w:pPr>
      <w: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Figure 8: Health equity impact plane, residence</w:t>
      </w:r>
    </w:p>
    <w:p>
      <w:pPr>
        <w:pStyle w:val="CaptionedFigure"/>
      </w:pPr>
      <w: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t>4. Limitations</w:t>
      </w:r>
    </w:p>
    <w:p>
      <w:pPr>
        <w:pStyle w:val="FirstParagraph"/>
      </w:pPr>
      <w: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pPr>
      <w: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pPr>
      <w: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pPr>
      <w:r>
        <w:t>We now include a first, budget-only version of package selection under a fixed consumables-budget envelope (Section 3.2), using a provisional USD working value rather than the CFA-franc government budget record specified in the EasyHealth WP3 analysis plan (Section 3 of the analysis plan template), alongside an illustrative workforce-constrained version using literature-derived data. Still not included: Senegal-specific health-workforce capacity constraints by cadre, needed for a Senegal-specific version of the full constrained-optimization formulation (Section 7 of the analysis plan template); probabilistic sensitivity analysis with joint parameter uncertainty (Section 5 of the analysis plan template); and pre-registration of the analysis plan with MSAS sign-off (Section 8 of the analysis plan template). We propose these as the next iteration's scope, once we agree the CET base value, unit-cost source hierarchy, DCEA baseline parameters, and the provisional consumables budget confirmed in this note.</w:t>
      </w:r>
    </w:p>
    <w:p>
      <w:pPr>
        <w:pStyle w:val="BodyText"/>
      </w:pPr>
      <w: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pPr>
      <w: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p>
    <w:p>
      <w:pPr>
        <w:pStyle w:val="Heading1"/>
      </w:pPr>
      <w:r>
        <w:t>References</w:t>
      </w:r>
    </w:p>
    <w:p>
      <w:pPr>
        <w:pStyle w:val="FirstParagraph"/>
      </w:pPr>
      <w:r>
        <w:t>Asaria, M., Griffin, S., &amp; Cookson, R. (2016). Distributional cost-effectiveness analysis: a tutorial. Medical Decision Making, 36(1), 8-19.</w:t>
      </w:r>
    </w:p>
    <w:p>
      <w:pPr>
        <w:pStyle w:val="FirstParagraph"/>
      </w:pPr>
      <w:r>
        <w:t>Atkinson, A. B. (1970). On the measurement of inequality. Journal of Economic Theory, 2(3), 244-263.</w:t>
      </w:r>
    </w:p>
    <w:p>
      <w:pPr>
        <w:pStyle w:val="FirstParagraph"/>
      </w:pPr>
      <w:r>
        <w:t>Cookson, R., Griffin, S., Norheim, O. F., &amp; Culyer, A. J. (Eds.). (2021). Distributional Cost-Effectiveness Analysis: Quantifying Health Equity Impacts and Trade-offs. Oxford University Press.</w:t>
      </w:r>
    </w:p>
    <w:p>
      <w:pPr>
        <w:pStyle w:val="FirstParagraph"/>
      </w:pPr>
      <w:r>
        <w:t>Drummond, M. F., Sculpher, M. J., Claxton, K., Stoddart, G. L., &amp; Torrance, G. W. (2015). Methods for the Economic Evaluation of Health Care Programmes (4th ed.). Oxford University Press.</w:t>
      </w:r>
    </w:p>
    <w:p>
      <w:pPr>
        <w:pStyle w:val="FirstParagraph"/>
      </w:pPr>
      <w:r>
        <w:t>Stinnett, A. A., &amp; Mullahy, J. (1998). Net health benefits: a new framework for the analysis of uncertainty in cost-effectiveness analysis. Medical Decision Making, 18(2_suppl), S68-S80.</w:t>
      </w:r>
    </w:p>
    <w:p>
      <w:pPr>
        <w:pStyle w:val="FirstParagraph"/>
      </w:pPr>
      <w:r>
        <w:t>Stinnett, A. A., &amp; Paltiel, A. D. (1996). Mathematical programming for the efficient allocation of health care resources. Journal of Health Economics, 15(5), 641-653.</w:t>
      </w:r>
    </w:p>
    <w:p>
      <w:pPr>
        <w:pStyle w:val="Heading1"/>
      </w:pPr>
      <w:r>
        <w:t>Appendix: Accompanying files</w:t>
      </w:r>
    </w:p>
    <w:p>
      <w:pPr>
        <w:pStyle w:val="FirstParagraph"/>
      </w:pPr>
      <w: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Pr>
        <w:t>league_table_final.xlsx</w:t>
      </w:r>
      <w:r>
        <w:t xml:space="preserve">, </w:t>
      </w:r>
      <w:r>
        <w:rPr>
          <w:rStyle w:val="VerbatimChar"/>
        </w:rPr>
        <w:t>funnel_tracking.xlsx</w:t>
      </w:r>
      <w:r>
        <w:t xml:space="preserve">, </w:t>
      </w:r>
      <w:r>
        <w:rPr>
          <w:rStyle w:val="VerbatimChar"/>
        </w:rPr>
        <w:t>detailed_findings.xlsx</w:t>
      </w:r>
      <w:r>
        <w:t xml:space="preserve">, and </w:t>
      </w:r>
      <w:r>
        <w:rPr>
          <w:rStyle w:val="VerbatimChar"/>
        </w:rPr>
        <w:t>dcea_results.xlsx</w:t>
      </w:r>
      <w:r>
        <w:t>. The constrained-optimization results (Tables 4-5 in Section 3.2, and the per-intervention detail behind them) are provided in optimization_results.xlsx, and the accompanying supplementary tables (intervention-level parameters, scenario outcomes, and the placeholder structure for Senegal-specific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Pr>
        <w:footnoteRef/>
      </w:r>
      <w:r>
        <w:t xml:space="preserve"> </w:t>
      </w:r>
      <w:r>
        <w:t xml:space="preserve">ANSD, Enquête Démographique et de Santé Continue (EDS-Continue) 2023, Rapport des indicateurs clés; DHS Program, Senegal Continuous DHS 2023 (FR368).</w:t>
      </w:r>
    </w:p>
  </w:footnote>
  <w:footnote w:id="24">
    <w:p>
      <w:pPr>
        <w:pStyle w:val="FootnoteText"/>
      </w:pPr>
      <w:r>
        <w:rPr>
          <w:rStyle w:val="FootnoteReference"/>
        </w:rPr>
        <w:footnoteRef/>
      </w:r>
      <w:r>
        <w:t xml:space="preserve"> </w:t>
      </w:r>
      <w:r>
        <w:t xml:space="preserve">Institute for Health Metrics and Evaluation (IHME), Global Burden of Disease, Senegal extract, cumulative DALYs 2023.</w:t>
      </w:r>
    </w:p>
  </w:footnote>
  <w:footnote w:id="29">
    <w:p>
      <w:pPr>
        <w:pStyle w:val="FootnoteText"/>
      </w:pPr>
      <w:r>
        <w:rPr>
          <w:rStyle w:val="FootnoteReference"/>
        </w:rPr>
        <w:footnoteRef/>
      </w:r>
      <w:r>
        <w:t xml:space="preserve"> </w:t>
      </w:r>
      <w:r>
        <w:t xml:space="preserve">Jamison D. et al. (2018), Disease Control Priorities, 3rd edition.</w:t>
      </w:r>
    </w:p>
  </w:footnote>
  <w:footnote w:id="30">
    <w:p>
      <w:pPr>
        <w:pStyle w:val="FootnoteText"/>
      </w:pPr>
      <w:r>
        <w:rPr>
          <w:rStyle w:val="FootnoteReference"/>
        </w:rPr>
        <w:footnoteRef/>
      </w:r>
      <w:r>
        <w:t xml:space="preserve"> </w:t>
      </w:r>
      <w:r>
        <w:t xml:space="preserve">Stenberg K. et al. (2017), OneHealth Tool manual, Avenir Health/WHO.</w:t>
      </w:r>
    </w:p>
  </w:footnote>
  <w:footnote w:id="32">
    <w:p>
      <w:pPr>
        <w:pStyle w:val="FootnoteText"/>
      </w:pPr>
      <w:r>
        <w:rPr>
          <w:rStyle w:val="FootnoteReference"/>
        </w:rPr>
        <w:footnoteRef/>
      </w:r>
      <w:r>
        <w:t xml:space="preserve"> </w:t>
      </w:r>
      <w:r>
        <w:t xml:space="preserve">ANSD (2026), Situation Économique et Sociale du Sénégal, Ed. 2024.</w:t>
      </w:r>
    </w:p>
  </w:footnote>
  <w:footnote w:id="33">
    <w:p>
      <w:pPr>
        <w:pStyle w:val="FootnoteText"/>
      </w:pPr>
      <w:r>
        <w:rPr>
          <w:rStyle w:val="FootnoteReference"/>
        </w:rPr>
        <w:footnoteRef/>
      </w:r>
      <w:r>
        <w:t xml:space="preserve"> </w:t>
      </w:r>
      <w:r>
        <w:t xml:space="preserve">ANSD/MSAS workforce data.</w:t>
      </w:r>
    </w:p>
  </w:footnote>
  <w:footnote w:id="34">
    <w:p>
      <w:pPr>
        <w:pStyle w:val="FootnoteText"/>
      </w:pPr>
      <w:r>
        <w:rPr>
          <w:rStyle w:val="FootnoteReference"/>
        </w:rPr>
        <w:footnoteRef/>
      </w:r>
      <w:r>
        <w:t xml:space="preserve"> </w:t>
      </w:r>
      <w:r>
        <w:t xml:space="preserve">Ministère de la Santé et de l’Action Sociale (MSAS), Plan National de Développement Sanitaire et Social (PNDSS) 2019-2028, ligne 52.</w:t>
      </w:r>
    </w:p>
  </w:footnote>
  <w:footnote w:id="36">
    <w:p>
      <w:pPr>
        <w:pStyle w:val="FootnoteText"/>
      </w:pPr>
      <w:r>
        <w:rPr>
          <w:rStyle w:val="FootnoteReference"/>
        </w:rPr>
        <w:footnoteRef/>
      </w:r>
      <w:r>
        <w:t xml:space="preserve"> </w:t>
      </w:r>
      <w:r>
        <w:t xml:space="preserve">Comptes Nationaux de la Santé, MSAS.</w:t>
      </w:r>
    </w:p>
  </w:footnote>
  <w:footnote w:id="37">
    <w:p>
      <w:pPr>
        <w:pStyle w:val="FootnoteText"/>
      </w:pPr>
      <w:r>
        <w:rPr>
          <w:rStyle w:val="FootnoteReference"/>
        </w:rPr>
        <w:footnoteRef/>
      </w:r>
      <w:r>
        <w:t xml:space="preserve"> </w:t>
      </w:r>
      <w:r>
        <w:t xml:space="preserve">ANSD, Situation Économique et Sociale du Sénégal, édition 2019 (publiée janvier 2022), section Santé.</w:t>
      </w:r>
    </w:p>
  </w:footnote>
  <w:footnote w:id="38">
    <w:p>
      <w:pPr>
        <w:pStyle w:val="FootnoteText"/>
      </w:pPr>
      <w:r>
        <w:rPr>
          <w:rStyle w:val="FootnoteReference"/>
        </w:rPr>
        <w:footnoteRef/>
      </w:r>
      <w:r>
        <w:t xml:space="preserve"> </w:t>
      </w:r>
      <w:r>
        <w:t xml:space="preserve">Ministère des Finances et du Budget, Rapport d’exécution budgétaire, deuxième trimestre 2024.</w:t>
      </w:r>
    </w:p>
  </w:footnote>
  <w:footnote w:id="40">
    <w:p>
      <w:pPr>
        <w:pStyle w:val="FootnoteText"/>
      </w:pPr>
      <w:r>
        <w:rPr>
          <w:rStyle w:val="FootnoteReference"/>
        </w:rPr>
        <w:footnoteRef/>
      </w:r>
      <w:r>
        <w:t xml:space="preserve"> </w:t>
      </w:r>
      <w:r>
        <w:t xml:space="preserve">Alwan A. et al. (2024), Ten Steps for Setting the Essential Package of Health Services in Pakistan.</w:t>
      </w:r>
    </w:p>
  </w:footnote>
  <w:footnote w:id="41">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 w:id="42">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 w:id="43">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sz w:val="18"/>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ourceNote">
    <w:name w:val="Source Note"/>
    <w:basedOn w:val="BodyText"/>
    <w:pPr>
      <w:spacing w:before="40" w:after="240"/>
    </w:pPr>
    <w:rPr>
      <w:i/>
      <w:color w:val="595959"/>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