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Defining the Health Benefits Package in Senegal — Results Note (Dry Run, v6)</w:t>
      </w:r>
    </w:p>
    <w:p>
      <w:pPr>
        <w:pStyle w:val="Heading1"/>
      </w:pPr>
      <w:r>
        <w:t>Abstract</w:t>
      </w:r>
    </w:p>
    <w:p>
      <w:pPr>
        <w:pStyle w:val="FirstParagraph"/>
      </w:pPr>
      <w:r>
        <w:t>We present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pPr>
      <w:r>
        <w:t>We run a first constrained optimization, using a provisional $120 million consumables budget as the only constraint, retaining 76 of the 86 cost-effective interventions while using 100% of that budget, with net DALYs averted essentially unchanged (70.9 million vs 71.0 million) relative to no budget constraint at all. A scenario that also applies health-workforce time constraints shows pharmaceutical and mental-health staff time</w:t>
      </w:r>
      <w:r>
        <w:rPr>
          <w:rStyle w:val="FootnoteReference"/>
        </w:rPr>
        <w:footnoteReference w:id="44"/>
      </w:r>
      <w:r>
        <w:t xml:space="preserve"> — not the budget — as the binding constraint (Section 3.2).</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We confirm four items for this run, open to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1. Introduction</w:t>
      </w:r>
    </w:p>
    <w:p>
      <w:pPr>
        <w:pStyle w:val="FirstParagraph"/>
      </w:pPr>
      <w: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t>1.1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p>
      <w:pPr>
        <w:pStyle w:val="Heading2"/>
      </w:pPr>
      <w:r>
        <w:t>1.2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t>2. Methodology and data</w:t>
      </w:r>
    </w:p>
    <w:p>
      <w:pPr>
        <w:pStyle w:val="Heading2"/>
      </w:pPr>
      <w:r>
        <w:t>2.1 Data sources</w:t>
      </w:r>
    </w:p>
    <w:p>
      <w:pPr>
        <w:pStyle w:val="Heading3"/>
      </w:pPr>
      <w:r>
        <w:t>2.1.1 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tcPr>
          <w:p>
            <w:pPr>
              <w:pStyle w:val="Compact"/>
              <w:jc w:val="left"/>
            </w:pPr>
            <w:r>
              <w:rPr>
                <w:b/>
                <w:color w:val="000066"/>
              </w:rPr>
              <w:t xml:space="preserve">Category (Level 1 GBD)</w:t>
            </w:r>
          </w:p>
        </w:tc>
        <w:tc>
          <w:tcPr>
            <w:tcBorders>
              <w:top w:val="single" w:sz="8" w:space="0" w:color="000000"/>
              <w:bottom w:val="single" w:sz="8" w:space="0" w:color="000000"/>
            </w:tcBorders>
          </w:tcPr>
          <w:p>
            <w:pPr>
              <w:pStyle w:val="Compact"/>
              <w:jc w:val="left"/>
            </w:pPr>
            <w:r>
              <w:rPr>
                <w:b/>
                <w:color w:val="000066"/>
              </w:rPr>
              <w:t xml:space="preserve">Cause (Level 3 GBD)</w:t>
            </w:r>
          </w:p>
        </w:tc>
        <w:tc>
          <w:tcPr>
            <w:tcBorders>
              <w:top w:val="single" w:sz="8" w:space="0" w:color="000000"/>
              <w:bottom w:val="single" w:sz="8" w:space="0" w:color="000000"/>
            </w:tcBorders>
          </w:tcPr>
          <w:p>
            <w:pPr>
              <w:pStyle w:val="Compact"/>
              <w:jc w:val="right"/>
            </w:pPr>
            <w:r>
              <w:rPr>
                <w:b/>
                <w:color w:val="000066"/>
              </w:rPr>
              <w:t xml:space="preserve">% of total DALYs</w:t>
            </w:r>
          </w:p>
        </w:tc>
        <w:tc>
          <w:tcPr>
            <w:tcBorders>
              <w:top w:val="single" w:sz="8" w:space="0" w:color="000000"/>
              <w:bottom w:val="single" w:sz="8" w:space="0" w:color="000000"/>
            </w:tcBorders>
          </w:tcPr>
          <w:p>
            <w:pPr>
              <w:pStyle w:val="Compact"/>
              <w:jc w:val="right"/>
            </w:pPr>
            <w:r>
              <w:rPr>
                <w:b/>
                <w:color w:val="000066"/>
              </w:rP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tcBorders>
              <w:bottom w:val="single" w:sz="8" w:space="0" w:color="000000"/>
            </w:tcBorders>
          </w:tcPr>
          <w:p>
            <w:pPr>
              <w:pStyle w:val="Compact"/>
              <w:jc w:val="left"/>
            </w:pPr>
            <w:r>
              <w:t xml:space="preserve">Non-communicable diseases</w:t>
            </w:r>
          </w:p>
        </w:tc>
        <w:tc>
          <w:tcPr>
            <w:tcBorders>
              <w:bottom w:val="single" w:sz="8" w:space="0" w:color="000000"/>
            </w:tcBorders>
          </w:tcPr>
          <w:p>
            <w:pPr>
              <w:pStyle w:val="Compact"/>
              <w:jc w:val="left"/>
            </w:pPr>
            <w:r>
              <w:t xml:space="preserve">Hemoglobinopathies and hemolytic anemias</w:t>
            </w:r>
          </w:p>
        </w:tc>
        <w:tc>
          <w:tcPr>
            <w:tcBorders>
              <w:bottom w:val="single" w:sz="8" w:space="0" w:color="000000"/>
            </w:tcBorders>
          </w:tcPr>
          <w:p>
            <w:pPr>
              <w:pStyle w:val="Compact"/>
              <w:jc w:val="right"/>
            </w:pPr>
            <w:r>
              <w:t xml:space="preserve">1.4</w:t>
            </w:r>
          </w:p>
        </w:tc>
        <w:tc>
          <w:tcPr>
            <w:tcBorders>
              <w:bottom w:val="single" w:sz="8" w:space="0" w:color="000000"/>
            </w:tcBorders>
          </w:tcPr>
          <w:p>
            <w:pPr>
              <w:pStyle w:val="Compact"/>
              <w:jc w:val="right"/>
            </w:pPr>
            <w:r>
              <w:t xml:space="preserve">63.0</w:t>
            </w:r>
          </w:p>
        </w:tc>
      </w:tr>
    </w:tbl>
    <w:p>
      <w:pPr>
        <w:pStyle w:val="BodyText"/>
      </w:pPr>
      <w:r>
        <w:rPr>
          <w:iCs/>
          <w:i/>
        </w:rPr>
        <w:t xml:space="preserve">Source: IHME, Global Burden of Disease (GBD), Senegal, DALYs 2023.</w:t>
      </w:r>
    </w:p>
    <w:p>
      <w:pPr>
        <w:pStyle w:val="ImageCaption"/>
      </w:pPr>
      <w:r>
        <w:t>Figure 1: Top 20 causes of DALYs in Senegal, 2023</w:t>
      </w:r>
    </w:p>
    <w:p>
      <w:pPr>
        <w:pStyle w:val="CaptionedFigure"/>
      </w:pPr>
      <w:r>
        <w:drawing>
          <wp:inline>
            <wp:extent cx="5486400" cy="4572000"/>
            <wp:docPr id="65" name="Picture 65"/>
            <wp:cNvGraphicFramePr>
              <a:graphicFrameLocks noChangeAspect="1"/>
            </wp:cNvGraphicFramePr>
            <a:graphic>
              <a:graphicData uri="http://schemas.openxmlformats.org/drawingml/2006/picture">
                <pic:pic>
                  <pic:nvPicPr>
                    <pic:cNvPr id="0" name="top20_causes_dalys.png"/>
                    <pic:cNvPicPr/>
                  </pic:nvPicPr>
                  <pic:blipFill>
                    <a:blip r:embed="rId14"/>
                    <a:stretch>
                      <a:fillRect/>
                    </a:stretch>
                  </pic:blipFill>
                  <pic:spPr>
                    <a:xfrm>
                      <a:off x="0" y="0"/>
                      <a:ext cx="5486400" cy="4572000"/>
                    </a:xfrm>
                    <a:prstGeom prst="rect"/>
                  </pic:spPr>
                </pic:pic>
              </a:graphicData>
            </a:graphic>
          </wp:inline>
        </w:drawing>
      </w:r>
    </w:p>
    <w:p>
      <w:pPr>
        <w:pStyle w:val="SourceNote"/>
      </w:pPr>
      <w:r>
        <w:t>Note: colour marks the Level-1 GBD category (communicable/maternal/neonatal/nutritional, injuries, non-communicable diseases).</w:t>
      </w:r>
    </w:p>
    <w:p>
      <w:pPr>
        <w:pStyle w:val="BodyText"/>
      </w:pPr>
      <w:r>
        <w:rPr>
          <w:iCs/>
          <w:i/>
        </w:rPr>
        <w:t xml:space="preserve">Source: IHME, Global Burden of Disease (GBD), Senegal, DALYs 2023.</w:t>
      </w:r>
    </w:p>
    <w:p>
      <w:pPr>
        <w:pStyle w:val="Heading3"/>
      </w:pPr>
      <w:r>
        <w:t>2.1.2 Intervention architecture</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tcPr>
          <w:p>
            <w:pPr>
              <w:pStyle w:val="Compact"/>
              <w:jc w:val="left"/>
            </w:pPr>
            <w:r>
              <w:rPr>
                <w:b/>
                <w:color w:val="000066"/>
              </w:rPr>
              <w:t xml:space="preserve">OHT module</w:t>
            </w:r>
          </w:p>
        </w:tc>
        <w:tc>
          <w:tcPr>
            <w:tcBorders>
              <w:top w:val="single" w:sz="8" w:space="0" w:color="000000"/>
              <w:bottom w:val="single" w:sz="8" w:space="0" w:color="000000"/>
            </w:tcBorders>
          </w:tcPr>
          <w:p>
            <w:pPr>
              <w:pStyle w:val="Compact"/>
              <w:jc w:val="right"/>
            </w:pPr>
            <w:r>
              <w:rPr>
                <w:b/>
                <w:color w:val="000066"/>
              </w:rPr>
              <w:t xml:space="preserve">N interventions</w:t>
            </w:r>
          </w:p>
        </w:tc>
        <w:tc>
          <w:tcPr>
            <w:tcBorders>
              <w:top w:val="single" w:sz="8" w:space="0" w:color="000000"/>
              <w:bottom w:val="single" w:sz="8" w:space="0" w:color="000000"/>
            </w:tcBorders>
          </w:tcPr>
          <w:p>
            <w:pPr>
              <w:pStyle w:val="Compact"/>
              <w:jc w:val="right"/>
            </w:pPr>
            <w:r>
              <w:rPr>
                <w:b/>
                <w:color w:val="000066"/>
              </w:rP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tcBorders>
              <w:bottom w:val="single" w:sz="8" w:space="0" w:color="000000"/>
            </w:tcBorders>
          </w:tcPr>
          <w:p>
            <w:pPr>
              <w:pStyle w:val="Compact"/>
              <w:jc w:val="left"/>
            </w:pPr>
            <w:r>
              <w:t xml:space="preserve">Tuberculosis</w:t>
            </w:r>
          </w:p>
        </w:tc>
        <w:tc>
          <w:tcPr>
            <w:tcBorders>
              <w:bottom w:val="single" w:sz="8" w:space="0" w:color="000000"/>
            </w:tcBorders>
          </w:tcPr>
          <w:p>
            <w:pPr>
              <w:pStyle w:val="Compact"/>
              <w:jc w:val="right"/>
            </w:pPr>
            <w:r>
              <w:t xml:space="preserve">77</w:t>
            </w:r>
          </w:p>
        </w:tc>
        <w:tc>
          <w:tcPr>
            <w:tcBorders>
              <w:bottom w:val="single" w:sz="8" w:space="0" w:color="000000"/>
            </w:tcBorders>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t>2.1.3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p>
      <w:pPr>
        <w:pStyle w:val="Heading3"/>
      </w:pPr>
      <w:r>
        <w:t>2.1.4 Resource and cost data</w:t>
      </w:r>
    </w:p>
    <w:p>
      <w:pPr>
        <w:pStyle w:val="FirstParagraph"/>
      </w:pPr>
      <w: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w:t>
      </w:r>
      <w:r>
        <w:rPr>
          <w:rStyle w:val="FootnoteReference"/>
        </w:rPr>
      </w:r>
      <w:r>
        <w:t>, not yet drawn from an actual government budget record; we will replace it with a confirmed MSAS consumables-budget line item as soon as one is available, at which point every downstream number in Section 3.2 updates automatically.</w:t>
      </w:r>
    </w:p>
    <w:p>
      <w:pPr>
        <w:pStyle w:val="FirstParagraph"/>
      </w:pPr>
      <w:r>
        <w:rPr>
          <w:bCs/>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tcPr>
          <w:p>
            <w:pPr>
              <w:pStyle w:val="Compact"/>
              <w:jc w:val="left"/>
            </w:pPr>
            <w:r>
              <w:rPr>
                <w:b/>
                <w:color w:val="000066"/>
              </w:rPr>
              <w:t xml:space="preserve">Model parameter</w:t>
            </w:r>
          </w:p>
        </w:tc>
        <w:tc>
          <w:tcPr>
            <w:tcBorders>
              <w:top w:val="single" w:sz="8" w:space="0" w:color="000000"/>
              <w:bottom w:val="single" w:sz="8" w:space="0" w:color="000000"/>
            </w:tcBorders>
          </w:tcPr>
          <w:p>
            <w:pPr>
              <w:pStyle w:val="Compact"/>
              <w:jc w:val="left"/>
            </w:pPr>
            <w:r>
              <w:rPr>
                <w:b/>
                <w:color w:val="000066"/>
              </w:rPr>
              <w:t xml:space="preserve">Source</w:t>
            </w:r>
          </w:p>
        </w:tc>
        <w:tc>
          <w:tcPr>
            <w:tcBorders>
              <w:top w:val="single" w:sz="8" w:space="0" w:color="000000"/>
              <w:bottom w:val="single" w:sz="8" w:space="0" w:color="000000"/>
            </w:tcBorders>
          </w:tcPr>
          <w:p>
            <w:pPr>
              <w:pStyle w:val="Compact"/>
              <w:jc w:val="left"/>
            </w:pPr>
            <w:r>
              <w:rPr>
                <w:b/>
                <w:color w:val="000066"/>
              </w:rPr>
              <w:t xml:space="preserve">Country-specific?</w:t>
            </w:r>
          </w:p>
        </w:tc>
        <w:tc>
          <w:tcPr>
            <w:tcBorders>
              <w:top w:val="single" w:sz="8" w:space="0" w:color="000000"/>
              <w:bottom w:val="single" w:sz="8" w:space="0" w:color="000000"/>
            </w:tcBorders>
          </w:tcPr>
          <w:p>
            <w:pPr>
              <w:pStyle w:val="Compact"/>
              <w:jc w:val="left"/>
            </w:pPr>
            <w:r>
              <w:rPr>
                <w:b/>
                <w:color w:val="000066"/>
              </w:rPr>
              <w:t xml:space="preserve">Year</w:t>
            </w:r>
          </w:p>
        </w:tc>
        <w:tc>
          <w:tcPr>
            <w:tcBorders>
              <w:top w:val="single" w:sz="8" w:space="0" w:color="000000"/>
              <w:bottom w:val="single" w:sz="8" w:space="0" w:color="000000"/>
            </w:tcBorders>
          </w:tcPr>
          <w:p>
            <w:pPr>
              <w:pStyle w:val="Compact"/>
              <w:jc w:val="left"/>
            </w:pPr>
            <w:r>
              <w:rPr>
                <w:b/>
                <w:color w:val="000066"/>
              </w:rP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Health-opportunity-cost threshold estimation exercise, GBD 2023 disease-burden data,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Required for a Senegal-specific constrained-optimization extension (Section 3.2); not present in this run (an illustrative version uses literature-derived workforce data instead)</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Same limitation (Section 3.2)</w:t>
            </w:r>
          </w:p>
        </w:tc>
      </w:tr>
      <w:tr>
        <w:tc>
          <w:tcPr/>
          <w:p>
            <w:pPr>
              <w:pStyle w:val="Compact"/>
              <w:jc w:val="left"/>
            </w:pPr>
            <w:r>
              <w:t xml:space="preserve">Consumables budget envelope</w:t>
            </w:r>
          </w:p>
        </w:tc>
        <w:tc>
          <w:tcPr/>
          <w:p>
            <w:pPr>
              <w:pStyle w:val="Compact"/>
              <w:jc w:val="left"/>
            </w:pPr>
            <w:r>
              <w:t>Model configuration (provisional working value)</w:t>
            </w:r>
          </w:p>
        </w:tc>
        <w:tc>
          <w:tcPr/>
          <w:p>
            <w:pPr>
              <w:pStyle w:val="Compact"/>
              <w:jc w:val="left"/>
            </w:pPr>
            <w:r>
              <w:t>Yes (provisional)</w:t>
            </w:r>
          </w:p>
        </w:tc>
        <w:tc>
          <w:tcPr/>
          <w:p>
            <w:pPr>
              <w:pStyle w:val="Compact"/>
              <w:jc w:val="left"/>
            </w:pPr>
            <w:r>
              <w:t>2026 (placeholder)</w:t>
            </w:r>
          </w:p>
        </w:tc>
        <w:tc>
          <w:tcPr/>
          <w:p>
            <w:pPr>
              <w:pStyle w:val="Compact"/>
              <w:jc w:val="left"/>
            </w:pPr>
            <w:r>
              <w:t>Used as the budget constraint in the constrained optimization (Section 3.2); $120 million placeholder pending a confirmed MSAS consumables-budget line item</w:t>
            </w:r>
          </w:p>
        </w:tc>
      </w:tr>
      <w:tr>
        <w:tc>
          <w:tcPr/>
          <w:p>
            <w:pPr>
              <w:pStyle w:val="Compact"/>
              <w:jc w:val="left"/>
            </w:pPr>
            <w:r>
              <w:t>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tcBorders>
              <w:bottom w:val="single" w:sz="8" w:space="0" w:color="000000"/>
            </w:tcBorders>
          </w:tcPr>
          <w:p>
            <w:pPr>
              <w:pStyle w:val="Compact"/>
              <w:jc w:val="left"/>
            </w:pPr>
            <w:r>
              <w:t xml:space="preserve">Monetary year</w:t>
            </w:r>
          </w:p>
        </w:tc>
        <w:tc>
          <w:tcPr>
            <w:tcBorders>
              <w:bottom w:val="single" w:sz="8" w:space="0" w:color="000000"/>
            </w:tcBorders>
          </w:tcPr>
          <w:p>
            <w:pPr>
              <w:pStyle w:val="Compact"/>
              <w:jc w:val="left"/>
            </w:pPr>
            <w:r>
              <w:t xml:space="preserve">2023 USD (OHT); 2026 estimate (CET)</w:t>
            </w:r>
          </w:p>
        </w:tc>
        <w:tc>
          <w:tcPr>
            <w:tcBorders>
              <w:bottom w:val="single" w:sz="8" w:space="0" w:color="000000"/>
            </w:tcBorders>
          </w:tcPr>
          <w:p>
            <w:pPr>
              <w:pStyle w:val="Compact"/>
              <w:jc w:val="left"/>
            </w:pPr>
            <w:r>
              <w:t xml:space="preserve">—</w:t>
            </w:r>
          </w:p>
        </w:tc>
        <w:tc>
          <w:tcPr>
            <w:tcBorders>
              <w:bottom w:val="single" w:sz="8" w:space="0" w:color="000000"/>
            </w:tcBorders>
          </w:tcPr>
          <w:p>
            <w:pPr>
              <w:pStyle w:val="Compact"/>
              <w:jc w:val="left"/>
            </w:pPr>
            <w:r>
              <w:t xml:space="preserve">Mixed</w:t>
            </w:r>
          </w:p>
        </w:tc>
        <w:tc>
          <w:tcPr>
            <w:tcBorders>
              <w:bottom w:val="single" w:sz="8" w:space="0" w:color="000000"/>
            </w:tcBorders>
          </w:tcPr>
          <w:p>
            <w:pPr>
              <w:pStyle w:val="Compact"/>
              <w:jc w:val="left"/>
            </w:pPr>
            <w:r>
              <w:t xml:space="preserve">Not yet harmonized to a single price year across cost and CET sources</w:t>
            </w:r>
          </w:p>
        </w:tc>
      </w:tr>
    </w:tbl>
    <w:p>
      <w:pPr>
        <w:pStyle w:val="Heading2"/>
      </w:pPr>
      <w:r>
        <w:t>2.2 Method</w:t>
      </w:r>
    </w:p>
    <w:p>
      <w:pPr>
        <w:pStyle w:val="Heading3"/>
      </w:pPr>
      <w:r>
        <w:t>2.2.1 League table construction</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t>i = the intervention. Target population, population-in-need share, and coverage are all specific to intervention i (OneHealth Tool, Senegal settings).</w:t>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t>Figure 2: Intervention funnel, 389 to 95</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t>2.2.2 Key metrics and priority-setting method</w:t>
      </w:r>
    </w:p>
    <w:p>
      <w:pPr>
        <w:pStyle w:val="FirstParagraph"/>
      </w:pPr>
      <w:r>
        <w:t xml:space="preserve">Cost-effectiveness is assessed at a cost-effectiveness threshold (CET) of $485 per DALY averted, the Senegal-specific reference value used as the base case for this run,</w:t>
      </w:r>
      <w:r>
        <w:t xml:space="preserve"> with sensitivity scenarios at 50%, 150%, and 200% of that value ($242.50, $727.50, $970).</w:t>
      </w:r>
    </w:p>
    <w:p>
      <w:pPr>
        <w:pStyle w:val="BodyText"/>
      </w:pPr>
      <w: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t>i = the intervention. Total cost and total DALYs averted are both at full (100%) implementation of intervention i's target population.</w:t>
      </w:r>
    </w:p>
    <w:p>
      <w:pPr>
        <w:pStyle w:val="Heading3"/>
      </w:pPr>
      <w:r>
        <w:t>2.2.3 Constrained optimization</w:t>
      </w:r>
    </w:p>
    <w:p>
      <w:pPr>
        <w:pStyle w:val="FirstParagraph"/>
      </w:pPr>
      <w: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 the case in the budget-only scenario below; they diverge once health-workforce time constraints are added by cadre, which we illustrate below using workforce data from the published literature pending a Senegal-specific source (see Section 4).</w:t>
      </w:r>
    </w:p>
    <w:p>
      <w:pPr>
        <w:pStyle w:val="BodyText"/>
      </w:pPr>
      <w:r>
        <w:t>We use a provisional consumables budget of $120 million, a working value pending a confirmed MSAS consumables-budget line item</w:t>
      </w:r>
      <w:r>
        <w:rPr>
          <w:rStyle w:val="FootnoteReference"/>
        </w:rPr>
      </w:r>
      <w: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t>BudgetCost_i = the consumables-cost component of intervention i's price (drugs/commodities only); B = the consumables budget.</w:t>
      </w:r>
    </w:p>
    <w:p>
      <w:pPr>
        <w:pStyle w:val="Heading3"/>
      </w:pPr>
      <w:r>
        <w:t>2.2.4 Distributional cost-effectiveness analysis</w:t>
      </w:r>
    </w:p>
    <w:p>
      <w:pPr>
        <w:pStyle w:val="FirstParagraph"/>
      </w:pPr>
      <w:r>
        <w:t>The distributional cost-effectiveness analysis (DCEA) follows the standard equity-stratified DCEA methodology,</w:t>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t>3. Results / Findings</w:t>
      </w:r>
    </w:p>
    <w:p>
      <w:pPr>
        <w:pStyle w:val="Heading2"/>
      </w:pPr>
      <w:r>
        <w:t>3.1 Cost-effectiveness / priority setting</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Net health benefit, as used in this note, follows the standard net-DALYs-averted convention used in the constrained-optimization health-benefits-package literature:</w:t>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t>i = the intervention. DALYs_i and Cost_i are intervention i's own gross DALYs averted and total cost; CET is the cost-effectiveness threshold ($485/DALY averted, the Senegal reference value used in this note).</w:t>
      </w:r>
    </w:p>
    <w:p>
      <w:pPr>
        <w:pStyle w:val="ImageCaption"/>
      </w:pPr>
      <w:r>
        <w:t>Figure 3: Efficiency frontier: DALYs averted per $1,000 spent, all costed interventions ordered by ICER, coloured by cost-effectiveness at the CET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Figure 4: Interventions ranked by net health benefit, with cumulative spend</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2"/>
      </w:pPr>
      <w:r>
        <w:t>3.2 Constrained optimization</w:t>
      </w:r>
    </w:p>
    <w:p>
      <w:pPr>
        <w:pStyle w:val="BodyText"/>
      </w:pPr>
      <w: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3.1.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pPr>
      <w:r>
        <w:t>Table 4: Summary of results from the constrained optimization: no budget constraint vs the provisional $120 million budget</w:t>
      </w:r>
    </w:p>
    <w:tbl>
      <w:tblPr>
        <w:tblW w:type="auto" w:w="0"/>
        <w:tblLook w:firstColumn="1" w:firstRow="1" w:lastColumn="0" w:lastRow="0" w:noHBand="0" w:noVBand="1" w:val="04A0"/>
      </w:tblPr>
      <w:tblGrid>
        <w:gridCol w:w="3120"/>
        <w:gridCol w:w="3120"/>
        <w:gridCol w:w="3120"/>
        <w:gridCol w:w="2268"/>
      </w:tblGrid>
      <w:tr>
        <w:tc>
          <w:tcPr>
            <w:tcW w:type="dxa" w:w="3120"/>
            <w:tcBorders>
              <w:top w:val="single" w:sz="8" w:space="0" w:color="000000"/>
              <w:bottom w:val="single" w:sz="8" w:space="0" w:color="000000"/>
            </w:tcBorders>
          </w:tcPr>
          <w:p>
            <w:r>
              <w:rPr>
                <w:b/>
                <w:color w:val="000066"/>
              </w:rPr>
              <w:t>Metric</w:t>
            </w:r>
          </w:p>
        </w:tc>
        <w:tc>
          <w:tcPr>
            <w:tcW w:type="dxa" w:w="3120"/>
            <w:tcBorders>
              <w:top w:val="single" w:sz="8" w:space="0" w:color="000000"/>
              <w:bottom w:val="single" w:sz="8" w:space="0" w:color="000000"/>
            </w:tcBorders>
          </w:tcPr>
          <w:p>
            <w:r>
              <w:rPr>
                <w:b/>
                <w:color w:val="000066"/>
              </w:rPr>
              <w:t>No budget constraint (CET only)</w:t>
            </w:r>
          </w:p>
        </w:tc>
        <w:tc>
          <w:tcPr>
            <w:tcW w:type="dxa" w:w="3120"/>
            <w:tcBorders>
              <w:top w:val="single" w:sz="8" w:space="0" w:color="000000"/>
              <w:bottom w:val="single" w:sz="8" w:space="0" w:color="000000"/>
            </w:tcBorders>
          </w:tcPr>
          <w:p>
            <w:r>
              <w:rPr>
                <w:b/>
                <w:color w:val="000066"/>
              </w:rPr>
              <w:t>Provisional budget ($120M)</w:t>
            </w:r>
          </w:p>
        </w:tc>
        <w:tc>
          <w:tcPr>
            <w:tcW w:type="dxa" w:w="2268"/>
            <w:tcBorders>
              <w:top w:val="single" w:sz="8" w:space="0" w:color="000000"/>
              <w:bottom w:val="single" w:sz="8" w:space="0" w:color="000000"/>
            </w:tcBorders>
          </w:tcPr>
          <w:p>
            <w:r>
              <w:rPr>
                <w:b/>
                <w:color w:val="000066"/>
              </w:rPr>
              <w:t>With health-workforce constraints</w:t>
            </w:r>
          </w:p>
        </w:tc>
      </w:tr>
      <w:tr>
        <w:tc>
          <w:tcPr>
            <w:tcW w:type="dxa" w:w="3120"/>
          </w:tcPr>
          <w:p>
            <w:r>
              <w:t>Number of interventions with positive net health benefit</w:t>
            </w:r>
          </w:p>
        </w:tc>
        <w:tc>
          <w:tcPr>
            <w:tcW w:type="dxa" w:w="3120"/>
          </w:tcPr>
          <w:p>
            <w:r>
              <w:t>86</w:t>
            </w:r>
          </w:p>
        </w:tc>
        <w:tc>
          <w:tcPr>
            <w:tcW w:type="dxa" w:w="3120"/>
          </w:tcPr>
          <w:p>
            <w:r>
              <w:t>86</w:t>
            </w:r>
          </w:p>
        </w:tc>
        <w:tc>
          <w:tcPr>
            <w:tcW w:type="dxa" w:w="2268"/>
          </w:tcPr>
          <w:p>
            <w:r>
              <w:t>61</w:t>
            </w:r>
          </w:p>
        </w:tc>
      </w:tr>
      <w:tr>
        <w:tc>
          <w:tcPr>
            <w:tcW w:type="dxa" w:w="3120"/>
          </w:tcPr>
          <w:p>
            <w:r>
              <w:t>Number of interventions in the optimal package</w:t>
            </w:r>
          </w:p>
        </w:tc>
        <w:tc>
          <w:tcPr>
            <w:tcW w:type="dxa" w:w="3120"/>
          </w:tcPr>
          <w:p>
            <w:r>
              <w:t>86</w:t>
            </w:r>
          </w:p>
        </w:tc>
        <w:tc>
          <w:tcPr>
            <w:tcW w:type="dxa" w:w="3120"/>
          </w:tcPr>
          <w:p>
            <w:r>
              <w:t>76</w:t>
            </w:r>
          </w:p>
        </w:tc>
        <w:tc>
          <w:tcPr>
            <w:tcW w:type="dxa" w:w="2268"/>
          </w:tcPr>
          <w:p>
            <w:r>
              <w:t>46</w:t>
            </w:r>
          </w:p>
        </w:tc>
      </w:tr>
      <w:tr>
        <w:tc>
          <w:tcPr>
            <w:tcW w:type="dxa" w:w="3120"/>
          </w:tcPr>
          <w:p>
            <w:r>
              <w:t>Net DALYs averted</w:t>
            </w:r>
          </w:p>
        </w:tc>
        <w:tc>
          <w:tcPr>
            <w:tcW w:type="dxa" w:w="3120"/>
          </w:tcPr>
          <w:p>
            <w:r>
              <w:t>71,026,613</w:t>
            </w:r>
          </w:p>
        </w:tc>
        <w:tc>
          <w:tcPr>
            <w:tcW w:type="dxa" w:w="3120"/>
          </w:tcPr>
          <w:p>
            <w:r>
              <w:t>70,880,811</w:t>
            </w:r>
          </w:p>
        </w:tc>
        <w:tc>
          <w:tcPr>
            <w:tcW w:type="dxa" w:w="2268"/>
          </w:tcPr>
          <w:p>
            <w:r>
              <w:t>68,913,976</w:t>
            </w:r>
          </w:p>
        </w:tc>
      </w:tr>
      <w:tr>
        <w:tc>
          <w:tcPr>
            <w:tcW w:type="dxa" w:w="3120"/>
          </w:tcPr>
          <w:p>
            <w:r>
              <w:t>Total DALYs averted</w:t>
            </w:r>
          </w:p>
        </w:tc>
        <w:tc>
          <w:tcPr>
            <w:tcW w:type="dxa" w:w="3120"/>
          </w:tcPr>
          <w:p>
            <w:r>
              <w:t>71,430,098</w:t>
            </w:r>
          </w:p>
        </w:tc>
        <w:tc>
          <w:tcPr>
            <w:tcW w:type="dxa" w:w="3120"/>
          </w:tcPr>
          <w:p>
            <w:r>
              <w:t>71,128,233</w:t>
            </w:r>
          </w:p>
        </w:tc>
        <w:tc>
          <w:tcPr>
            <w:tcW w:type="dxa" w:w="2268"/>
          </w:tcPr>
          <w:p>
            <w:r>
              <w:t>69,161,399</w:t>
            </w:r>
          </w:p>
        </w:tc>
      </w:tr>
      <w:tr>
        <w:tc>
          <w:tcPr>
            <w:tcW w:type="dxa" w:w="3120"/>
          </w:tcPr>
          <w:p>
            <w:r>
              <w:t>Highest ICER in the optimal package ($)</w:t>
            </w:r>
          </w:p>
        </w:tc>
        <w:tc>
          <w:tcPr>
            <w:tcW w:type="dxa" w:w="3120"/>
          </w:tcPr>
          <w:p>
            <w:r>
              <w:t>337.16</w:t>
            </w:r>
          </w:p>
        </w:tc>
        <w:tc>
          <w:tcPr>
            <w:tcW w:type="dxa" w:w="3120"/>
          </w:tcPr>
          <w:p>
            <w:r>
              <w:t>198.93</w:t>
            </w:r>
          </w:p>
        </w:tc>
        <w:tc>
          <w:tcPr>
            <w:tcW w:type="dxa" w:w="2268"/>
          </w:tcPr>
          <w:p>
            <w:r>
              <w:t>198.93</w:t>
            </w:r>
          </w:p>
        </w:tc>
      </w:tr>
      <w:tr>
        <w:tc>
          <w:tcPr>
            <w:tcW w:type="dxa" w:w="3120"/>
            <w:tcBorders>
              <w:bottom w:val="single" w:sz="8" w:space="0" w:color="000000"/>
            </w:tcBorders>
          </w:tcPr>
          <w:p>
            <w:r>
              <w:t>Percentage of consumables budget required</w:t>
            </w:r>
          </w:p>
        </w:tc>
        <w:tc>
          <w:tcPr>
            <w:tcW w:type="dxa" w:w="3120"/>
            <w:tcBorders>
              <w:bottom w:val="single" w:sz="8" w:space="0" w:color="000000"/>
            </w:tcBorders>
          </w:tcPr>
          <w:p>
            <w:r>
              <w:t>—</w:t>
            </w:r>
          </w:p>
        </w:tc>
        <w:tc>
          <w:tcPr>
            <w:tcW w:type="dxa" w:w="3120"/>
            <w:tcBorders>
              <w:bottom w:val="single" w:sz="8" w:space="0" w:color="000000"/>
            </w:tcBorders>
          </w:tcPr>
          <w:p>
            <w:r>
              <w:t>100%</w:t>
            </w:r>
          </w:p>
        </w:tc>
        <w:tc>
          <w:tcPr>
            <w:tcW w:type="dxa" w:w="2268"/>
          </w:tcPr>
          <w:p>
            <w:r>
              <w:t>100%</w:t>
            </w:r>
          </w:p>
        </w:tc>
      </w:tr>
      <w:tr>
        <w:tc>
          <w:tcPr>
            <w:tcW w:type="dxa" w:w="3120"/>
          </w:tcPr>
          <w:p>
            <w:r>
              <w:t>Doctor/Clinical officer capacity used (%)</w:t>
            </w:r>
          </w:p>
        </w:tc>
        <w:tc>
          <w:tcPr>
            <w:tcW w:type="dxa" w:w="3120"/>
          </w:tcPr>
          <w:p>
            <w:r>
              <w:t>-</w:t>
            </w:r>
          </w:p>
        </w:tc>
        <w:tc>
          <w:tcPr>
            <w:tcW w:type="dxa" w:w="3120"/>
          </w:tcPr>
          <w:p>
            <w:r>
              <w:t>-</w:t>
            </w:r>
          </w:p>
        </w:tc>
        <w:tc>
          <w:tcPr>
            <w:tcW w:type="dxa" w:w="2268"/>
          </w:tcPr>
          <w:p>
            <w:r>
              <w:t>49.3%</w:t>
            </w:r>
          </w:p>
        </w:tc>
      </w:tr>
      <w:tr>
        <w:tc>
          <w:tcPr>
            <w:tcW w:type="dxa" w:w="3120"/>
          </w:tcPr>
          <w:p>
            <w:r>
              <w:t>Nursing staff capacity used (%)</w:t>
            </w:r>
          </w:p>
        </w:tc>
        <w:tc>
          <w:tcPr>
            <w:tcW w:type="dxa" w:w="3120"/>
          </w:tcPr>
          <w:p>
            <w:r>
              <w:t>-</w:t>
            </w:r>
          </w:p>
        </w:tc>
        <w:tc>
          <w:tcPr>
            <w:tcW w:type="dxa" w:w="3120"/>
          </w:tcPr>
          <w:p>
            <w:r>
              <w:t>-</w:t>
            </w:r>
          </w:p>
        </w:tc>
        <w:tc>
          <w:tcPr>
            <w:tcW w:type="dxa" w:w="2268"/>
          </w:tcPr>
          <w:p>
            <w:r>
              <w:t>21.7%</w:t>
            </w:r>
          </w:p>
        </w:tc>
      </w:tr>
      <w:tr>
        <w:tc>
          <w:tcPr>
            <w:tcW w:type="dxa" w:w="3120"/>
          </w:tcPr>
          <w:p>
            <w:r>
              <w:t>Pharmaceutical staff capacity used (%)</w:t>
            </w:r>
          </w:p>
        </w:tc>
        <w:tc>
          <w:tcPr>
            <w:tcW w:type="dxa" w:w="3120"/>
          </w:tcPr>
          <w:p>
            <w:r>
              <w:t>-</w:t>
            </w:r>
          </w:p>
        </w:tc>
        <w:tc>
          <w:tcPr>
            <w:tcW w:type="dxa" w:w="3120"/>
          </w:tcPr>
          <w:p>
            <w:r>
              <w:t>-</w:t>
            </w:r>
          </w:p>
        </w:tc>
        <w:tc>
          <w:tcPr>
            <w:tcW w:type="dxa" w:w="2268"/>
          </w:tcPr>
          <w:p>
            <w:r>
              <w:t>100%</w:t>
            </w:r>
          </w:p>
        </w:tc>
      </w:tr>
      <w:tr>
        <w:tc>
          <w:tcPr>
            <w:tcW w:type="dxa" w:w="3120"/>
          </w:tcPr>
          <w:p>
            <w:r>
              <w:t>Laboratory staff capacity used (%)</w:t>
            </w:r>
          </w:p>
        </w:tc>
        <w:tc>
          <w:tcPr>
            <w:tcW w:type="dxa" w:w="3120"/>
          </w:tcPr>
          <w:p>
            <w:r>
              <w:t>-</w:t>
            </w:r>
          </w:p>
        </w:tc>
        <w:tc>
          <w:tcPr>
            <w:tcW w:type="dxa" w:w="3120"/>
          </w:tcPr>
          <w:p>
            <w:r>
              <w:t>-</w:t>
            </w:r>
          </w:p>
        </w:tc>
        <w:tc>
          <w:tcPr>
            <w:tcW w:type="dxa" w:w="2268"/>
          </w:tcPr>
          <w:p>
            <w:r>
              <w:t>2.1%</w:t>
            </w:r>
          </w:p>
        </w:tc>
      </w:tr>
      <w:tr>
        <w:tc>
          <w:tcPr>
            <w:tcW w:type="dxa" w:w="3120"/>
          </w:tcPr>
          <w:p>
            <w:r>
              <w:t>Dental staff capacity used (%)</w:t>
            </w:r>
          </w:p>
        </w:tc>
        <w:tc>
          <w:tcPr>
            <w:tcW w:type="dxa" w:w="3120"/>
          </w:tcPr>
          <w:p>
            <w:r>
              <w:t>-</w:t>
            </w:r>
          </w:p>
        </w:tc>
        <w:tc>
          <w:tcPr>
            <w:tcW w:type="dxa" w:w="3120"/>
          </w:tcPr>
          <w:p>
            <w:r>
              <w:t>-</w:t>
            </w:r>
          </w:p>
        </w:tc>
        <w:tc>
          <w:tcPr>
            <w:tcW w:type="dxa" w:w="2268"/>
          </w:tcPr>
          <w:p>
            <w:r>
              <w:t>0%</w:t>
            </w:r>
          </w:p>
        </w:tc>
      </w:tr>
      <w:tr>
        <w:tc>
          <w:tcPr>
            <w:tcW w:type="dxa" w:w="3120"/>
          </w:tcPr>
          <w:p>
            <w:r>
              <w:t>Mental health staff capacity used (%)</w:t>
            </w:r>
          </w:p>
        </w:tc>
        <w:tc>
          <w:tcPr>
            <w:tcW w:type="dxa" w:w="3120"/>
          </w:tcPr>
          <w:p>
            <w:r>
              <w:t>-</w:t>
            </w:r>
          </w:p>
        </w:tc>
        <w:tc>
          <w:tcPr>
            <w:tcW w:type="dxa" w:w="3120"/>
          </w:tcPr>
          <w:p>
            <w:r>
              <w:t>-</w:t>
            </w:r>
          </w:p>
        </w:tc>
        <w:tc>
          <w:tcPr>
            <w:tcW w:type="dxa" w:w="2268"/>
          </w:tcPr>
          <w:p>
            <w:r>
              <w:t>100%</w:t>
            </w:r>
          </w:p>
        </w:tc>
      </w:tr>
      <w:tr>
        <w:tc>
          <w:tcPr>
            <w:tcW w:type="dxa" w:w="3120"/>
          </w:tcPr>
          <w:p>
            <w:r>
              <w:t>Nutrition staff capacity used (%)</w:t>
            </w:r>
          </w:p>
        </w:tc>
        <w:tc>
          <w:tcPr>
            <w:tcW w:type="dxa" w:w="3120"/>
          </w:tcPr>
          <w:p>
            <w:r>
              <w:t>-</w:t>
            </w:r>
          </w:p>
        </w:tc>
        <w:tc>
          <w:tcPr>
            <w:tcW w:type="dxa" w:w="3120"/>
          </w:tcPr>
          <w:p>
            <w:r>
              <w:t>-</w:t>
            </w:r>
          </w:p>
        </w:tc>
        <w:tc>
          <w:tcPr>
            <w:tcW w:type="dxa" w:w="2268"/>
          </w:tcPr>
          <w:p>
            <w:r>
              <w:t>0%</w:t>
            </w:r>
          </w:p>
        </w:tc>
      </w:tr>
      <w:tr>
        <w:tc>
          <w:tcPr>
            <w:tcW w:type="dxa" w:w="3120"/>
            <w:tcBorders>
              <w:bottom w:val="single" w:sz="8" w:space="0" w:color="000000"/>
            </w:tcBorders>
          </w:tcPr>
          <w:p>
            <w:r>
              <w:t>Diagnostic imaging staff capacity used (%)</w:t>
            </w:r>
          </w:p>
        </w:tc>
        <w:tc>
          <w:tcPr>
            <w:tcW w:type="dxa" w:w="3120"/>
            <w:tcBorders>
              <w:bottom w:val="single" w:sz="8" w:space="0" w:color="000000"/>
            </w:tcBorders>
          </w:tcPr>
          <w:p>
            <w:r>
              <w:t>-</w:t>
            </w:r>
          </w:p>
        </w:tc>
        <w:tc>
          <w:tcPr>
            <w:tcW w:type="dxa" w:w="3120"/>
            <w:tcBorders>
              <w:bottom w:val="single" w:sz="8" w:space="0" w:color="000000"/>
            </w:tcBorders>
          </w:tcPr>
          <w:p>
            <w:r>
              <w:t>-</w:t>
            </w:r>
          </w:p>
        </w:tc>
        <w:tc>
          <w:tcPr>
            <w:tcW w:type="dxa" w:w="2268"/>
            <w:tcBorders>
              <w:bottom w:val="single" w:sz="8" w:space="0" w:color="000000"/>
            </w:tcBorders>
          </w:tcPr>
          <w:p>
            <w:r>
              <w:t>0%</w:t>
            </w:r>
          </w:p>
        </w:tc>
      </w:tr>
    </w:tbl>
    <w:p>
      <w:pPr>
        <w:pStyle w:val="BodyText"/>
      </w:pPr>
      <w:r>
        <w:t>The health-workforce-constrained scenario retains 46 of the 68 optimizable interventions (against the same $120 million budget), a smaller package than the budget-only scenarios because pharmaceutical and mental-health staff time — not money — become the binding constraint, at 100% of the assumed capacity; doctor/clinical-officer and nursing time remain under half used. This is the kind of bottleneck a budget-only analysis cannot show at all, and is the main reason to extend this method to Senegal-specific workforce data once available.</w:t>
      </w:r>
    </w:p>
    <w:p>
      <w:pPr>
        <w:pStyle w:val="BodyText"/>
      </w:pPr>
      <w:r>
        <w:t>By disease program, the provisional-budget package is concentrated in tuberculosis (27 of 34 candidate interventions, 79%) and maternal/newborn and reproductive health (18 of 20, 90%), with malaria and nutrition retained at only half of their candidate interventions (Table 5); the corresponding consumables spend is led by non-communicable diseases (44.8% of the provisional budget) and child health (29.8%), with every other program below 7% (Figure, below).</w:t>
      </w:r>
    </w:p>
    <w:p>
      <w:pPr>
        <w:pStyle w:val="BodyText"/>
      </w:pPr>
      <w:r>
        <w:t>Table 5: Rate of inclusion of interventions from different disease programs in the optimal package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tcPr>
          <w:p>
            <w:r>
              <w:rPr>
                <w:b/>
                <w:color w:val="000066"/>
              </w:rPr>
              <w:t>Program</w:t>
            </w:r>
          </w:p>
        </w:tc>
        <w:tc>
          <w:tcPr>
            <w:tcW w:type="dxa" w:w="1560"/>
            <w:tcBorders>
              <w:top w:val="single" w:sz="8" w:space="0" w:color="000000"/>
              <w:bottom w:val="single" w:sz="8" w:space="0" w:color="000000"/>
            </w:tcBorders>
          </w:tcPr>
          <w:p>
            <w:r>
              <w:rPr>
                <w:b/>
                <w:color w:val="000066"/>
              </w:rPr>
              <w:t>Interventions considered</w:t>
            </w:r>
          </w:p>
        </w:tc>
        <w:tc>
          <w:tcPr>
            <w:tcW w:type="dxa" w:w="1560"/>
            <w:tcBorders>
              <w:top w:val="single" w:sz="8" w:space="0" w:color="000000"/>
              <w:bottom w:val="single" w:sz="8" w:space="0" w:color="000000"/>
            </w:tcBorders>
          </w:tcPr>
          <w:p>
            <w:r>
              <w:rPr>
                <w:b/>
                <w:color w:val="000066"/>
              </w:rPr>
              <w:t>No budget constraint: included</w:t>
            </w:r>
          </w:p>
        </w:tc>
        <w:tc>
          <w:tcPr>
            <w:tcW w:type="dxa" w:w="1560"/>
            <w:tcBorders>
              <w:top w:val="single" w:sz="8" w:space="0" w:color="000000"/>
              <w:bottom w:val="single" w:sz="8" w:space="0" w:color="000000"/>
            </w:tcBorders>
          </w:tcPr>
          <w:p>
            <w:r>
              <w:rPr>
                <w:b/>
                <w:color w:val="000066"/>
              </w:rPr>
              <w:t>No budget constraint: %</w:t>
            </w:r>
          </w:p>
        </w:tc>
        <w:tc>
          <w:tcPr>
            <w:tcW w:type="dxa" w:w="1560"/>
            <w:tcBorders>
              <w:top w:val="single" w:sz="8" w:space="0" w:color="000000"/>
              <w:bottom w:val="single" w:sz="8" w:space="0" w:color="000000"/>
            </w:tcBorders>
          </w:tcPr>
          <w:p>
            <w:r>
              <w:rPr>
                <w:b/>
                <w:color w:val="000066"/>
              </w:rPr>
              <w:t>Provisional budget: included</w:t>
            </w:r>
          </w:p>
        </w:tc>
        <w:tc>
          <w:tcPr>
            <w:tcW w:type="dxa" w:w="1560"/>
            <w:tcBorders>
              <w:top w:val="single" w:sz="8" w:space="0" w:color="000000"/>
              <w:bottom w:val="single" w:sz="8" w:space="0" w:color="000000"/>
            </w:tcBorders>
          </w:tcPr>
          <w:p>
            <w:r>
              <w:rPr>
                <w:b/>
                <w:color w:val="000066"/>
              </w:rPr>
              <w:t>Provisional budget: %</w:t>
            </w:r>
          </w:p>
        </w:tc>
      </w:tr>
      <w:tr>
        <w:tc>
          <w:tcPr>
            <w:tcW w:type="dxa" w:w="1560"/>
          </w:tcPr>
          <w:p>
            <w:r>
              <w:t>Child health</w:t>
            </w:r>
          </w:p>
        </w:tc>
        <w:tc>
          <w:tcPr>
            <w:tcW w:type="dxa" w:w="1560"/>
          </w:tcPr>
          <w:p>
            <w:r>
              <w:t>10</w:t>
            </w:r>
          </w:p>
        </w:tc>
        <w:tc>
          <w:tcPr>
            <w:tcW w:type="dxa" w:w="1560"/>
          </w:tcPr>
          <w:p>
            <w:r>
              <w:t>9</w:t>
            </w:r>
          </w:p>
        </w:tc>
        <w:tc>
          <w:tcPr>
            <w:tcW w:type="dxa" w:w="1560"/>
          </w:tcPr>
          <w:p>
            <w:r>
              <w:t>90%</w:t>
            </w:r>
          </w:p>
        </w:tc>
        <w:tc>
          <w:tcPr>
            <w:tcW w:type="dxa" w:w="1560"/>
          </w:tcPr>
          <w:p>
            <w:r>
              <w:t>9</w:t>
            </w:r>
          </w:p>
        </w:tc>
        <w:tc>
          <w:tcPr>
            <w:tcW w:type="dxa" w:w="1560"/>
          </w:tcPr>
          <w:p>
            <w:r>
              <w:t>90%</w:t>
            </w:r>
          </w:p>
        </w:tc>
      </w:tr>
      <w:tr>
        <w:tc>
          <w:tcPr>
            <w:tcW w:type="dxa" w:w="1560"/>
          </w:tcPr>
          <w:p>
            <w:r>
              <w:t>HIV/AIDS</w:t>
            </w:r>
          </w:p>
        </w:tc>
        <w:tc>
          <w:tcPr>
            <w:tcW w:type="dxa" w:w="1560"/>
          </w:tcPr>
          <w:p>
            <w:r>
              <w:t>6</w:t>
            </w:r>
          </w:p>
        </w:tc>
        <w:tc>
          <w:tcPr>
            <w:tcW w:type="dxa" w:w="1560"/>
          </w:tcPr>
          <w:p>
            <w:r>
              <w:t>5</w:t>
            </w:r>
          </w:p>
        </w:tc>
        <w:tc>
          <w:tcPr>
            <w:tcW w:type="dxa" w:w="1560"/>
          </w:tcPr>
          <w:p>
            <w:r>
              <w:t>83%</w:t>
            </w:r>
          </w:p>
        </w:tc>
        <w:tc>
          <w:tcPr>
            <w:tcW w:type="dxa" w:w="1560"/>
          </w:tcPr>
          <w:p>
            <w:r>
              <w:t>5</w:t>
            </w:r>
          </w:p>
        </w:tc>
        <w:tc>
          <w:tcPr>
            <w:tcW w:type="dxa" w:w="1560"/>
          </w:tcPr>
          <w:p>
            <w:r>
              <w:t>83%</w:t>
            </w:r>
          </w:p>
        </w:tc>
      </w:tr>
      <w:tr>
        <w:tc>
          <w:tcPr>
            <w:tcW w:type="dxa" w:w="1560"/>
          </w:tcPr>
          <w:p>
            <w:r>
              <w:t>Immunization</w:t>
            </w:r>
          </w:p>
        </w:tc>
        <w:tc>
          <w:tcPr>
            <w:tcW w:type="dxa" w:w="1560"/>
          </w:tcPr>
          <w:p>
            <w:r>
              <w:t>3</w:t>
            </w:r>
          </w:p>
        </w:tc>
        <w:tc>
          <w:tcPr>
            <w:tcW w:type="dxa" w:w="1560"/>
          </w:tcPr>
          <w:p>
            <w:r>
              <w:t>3</w:t>
            </w:r>
          </w:p>
        </w:tc>
        <w:tc>
          <w:tcPr>
            <w:tcW w:type="dxa" w:w="1560"/>
          </w:tcPr>
          <w:p>
            <w:r>
              <w:t>100%</w:t>
            </w:r>
          </w:p>
        </w:tc>
        <w:tc>
          <w:tcPr>
            <w:tcW w:type="dxa" w:w="1560"/>
          </w:tcPr>
          <w:p>
            <w:r>
              <w:t>3</w:t>
            </w:r>
          </w:p>
        </w:tc>
        <w:tc>
          <w:tcPr>
            <w:tcW w:type="dxa" w:w="1560"/>
          </w:tcPr>
          <w:p>
            <w:r>
              <w:t>100%</w:t>
            </w:r>
          </w:p>
        </w:tc>
      </w:tr>
      <w:tr>
        <w:tc>
          <w:tcPr>
            <w:tcW w:type="dxa" w:w="1560"/>
          </w:tcPr>
          <w:p>
            <w:r>
              <w:t>Malaria</w:t>
            </w:r>
          </w:p>
        </w:tc>
        <w:tc>
          <w:tcPr>
            <w:tcW w:type="dxa" w:w="1560"/>
          </w:tcPr>
          <w:p>
            <w:r>
              <w:t>2</w:t>
            </w:r>
          </w:p>
        </w:tc>
        <w:tc>
          <w:tcPr>
            <w:tcW w:type="dxa" w:w="1560"/>
          </w:tcPr>
          <w:p>
            <w:r>
              <w:t>2</w:t>
            </w:r>
          </w:p>
        </w:tc>
        <w:tc>
          <w:tcPr>
            <w:tcW w:type="dxa" w:w="1560"/>
          </w:tcPr>
          <w:p>
            <w:r>
              <w:t>100%</w:t>
            </w:r>
          </w:p>
        </w:tc>
        <w:tc>
          <w:tcPr>
            <w:tcW w:type="dxa" w:w="1560"/>
          </w:tcPr>
          <w:p>
            <w:r>
              <w:t>1</w:t>
            </w:r>
          </w:p>
        </w:tc>
        <w:tc>
          <w:tcPr>
            <w:tcW w:type="dxa" w:w="1560"/>
          </w:tcPr>
          <w:p>
            <w:r>
              <w:t>50%</w:t>
            </w:r>
          </w:p>
        </w:tc>
      </w:tr>
      <w:tr>
        <w:tc>
          <w:tcPr>
            <w:tcW w:type="dxa" w:w="1560"/>
          </w:tcPr>
          <w:p>
            <w:r>
              <w:t>Maternal/newborn and reproductive health</w:t>
            </w:r>
          </w:p>
        </w:tc>
        <w:tc>
          <w:tcPr>
            <w:tcW w:type="dxa" w:w="1560"/>
          </w:tcPr>
          <w:p>
            <w:r>
              <w:t>20</w:t>
            </w:r>
          </w:p>
        </w:tc>
        <w:tc>
          <w:tcPr>
            <w:tcW w:type="dxa" w:w="1560"/>
          </w:tcPr>
          <w:p>
            <w:r>
              <w:t>19</w:t>
            </w:r>
          </w:p>
        </w:tc>
        <w:tc>
          <w:tcPr>
            <w:tcW w:type="dxa" w:w="1560"/>
          </w:tcPr>
          <w:p>
            <w:r>
              <w:t>95%</w:t>
            </w:r>
          </w:p>
        </w:tc>
        <w:tc>
          <w:tcPr>
            <w:tcW w:type="dxa" w:w="1560"/>
          </w:tcPr>
          <w:p>
            <w:r>
              <w:t>18</w:t>
            </w:r>
          </w:p>
        </w:tc>
        <w:tc>
          <w:tcPr>
            <w:tcW w:type="dxa" w:w="1560"/>
          </w:tcPr>
          <w:p>
            <w:r>
              <w:t>90%</w:t>
            </w:r>
          </w:p>
        </w:tc>
      </w:tr>
      <w:tr>
        <w:tc>
          <w:tcPr>
            <w:tcW w:type="dxa" w:w="1560"/>
          </w:tcPr>
          <w:p>
            <w:r>
              <w:t>Mental, neurological, and substance use disorders</w:t>
            </w:r>
          </w:p>
        </w:tc>
        <w:tc>
          <w:tcPr>
            <w:tcW w:type="dxa" w:w="1560"/>
          </w:tcPr>
          <w:p>
            <w:r>
              <w:t>6</w:t>
            </w:r>
          </w:p>
        </w:tc>
        <w:tc>
          <w:tcPr>
            <w:tcW w:type="dxa" w:w="1560"/>
          </w:tcPr>
          <w:p>
            <w:r>
              <w:t>6</w:t>
            </w:r>
          </w:p>
        </w:tc>
        <w:tc>
          <w:tcPr>
            <w:tcW w:type="dxa" w:w="1560"/>
          </w:tcPr>
          <w:p>
            <w:r>
              <w:t>100%</w:t>
            </w:r>
          </w:p>
        </w:tc>
        <w:tc>
          <w:tcPr>
            <w:tcW w:type="dxa" w:w="1560"/>
          </w:tcPr>
          <w:p>
            <w:r>
              <w:t>6</w:t>
            </w:r>
          </w:p>
        </w:tc>
        <w:tc>
          <w:tcPr>
            <w:tcW w:type="dxa" w:w="1560"/>
          </w:tcPr>
          <w:p>
            <w:r>
              <w:t>100%</w:t>
            </w:r>
          </w:p>
        </w:tc>
      </w:tr>
      <w:tr>
        <w:tc>
          <w:tcPr>
            <w:tcW w:type="dxa" w:w="1560"/>
          </w:tcPr>
          <w:p>
            <w:r>
              <w:t>Non-communicable diseases</w:t>
            </w:r>
          </w:p>
        </w:tc>
        <w:tc>
          <w:tcPr>
            <w:tcW w:type="dxa" w:w="1560"/>
          </w:tcPr>
          <w:p>
            <w:r>
              <w:t>6</w:t>
            </w:r>
          </w:p>
        </w:tc>
        <w:tc>
          <w:tcPr>
            <w:tcW w:type="dxa" w:w="1560"/>
          </w:tcPr>
          <w:p>
            <w:r>
              <w:t>5</w:t>
            </w:r>
          </w:p>
        </w:tc>
        <w:tc>
          <w:tcPr>
            <w:tcW w:type="dxa" w:w="1560"/>
          </w:tcPr>
          <w:p>
            <w:r>
              <w:t>83%</w:t>
            </w:r>
          </w:p>
        </w:tc>
        <w:tc>
          <w:tcPr>
            <w:tcW w:type="dxa" w:w="1560"/>
          </w:tcPr>
          <w:p>
            <w:r>
              <w:t>4</w:t>
            </w:r>
          </w:p>
        </w:tc>
        <w:tc>
          <w:tcPr>
            <w:tcW w:type="dxa" w:w="1560"/>
          </w:tcPr>
          <w:p>
            <w:r>
              <w:t>67%</w:t>
            </w:r>
          </w:p>
        </w:tc>
      </w:tr>
      <w:tr>
        <w:tc>
          <w:tcPr>
            <w:tcW w:type="dxa" w:w="1560"/>
          </w:tcPr>
          <w:p>
            <w:r>
              <w:t>Nutrition</w:t>
            </w:r>
          </w:p>
        </w:tc>
        <w:tc>
          <w:tcPr>
            <w:tcW w:type="dxa" w:w="1560"/>
          </w:tcPr>
          <w:p>
            <w:r>
              <w:t>6</w:t>
            </w:r>
          </w:p>
        </w:tc>
        <w:tc>
          <w:tcPr>
            <w:tcW w:type="dxa" w:w="1560"/>
          </w:tcPr>
          <w:p>
            <w:r>
              <w:t>3</w:t>
            </w:r>
          </w:p>
        </w:tc>
        <w:tc>
          <w:tcPr>
            <w:tcW w:type="dxa" w:w="1560"/>
          </w:tcPr>
          <w:p>
            <w:r>
              <w:t>50%</w:t>
            </w:r>
          </w:p>
        </w:tc>
        <w:tc>
          <w:tcPr>
            <w:tcW w:type="dxa" w:w="1560"/>
          </w:tcPr>
          <w:p>
            <w:r>
              <w:t>3</w:t>
            </w:r>
          </w:p>
        </w:tc>
        <w:tc>
          <w:tcPr>
            <w:tcW w:type="dxa" w:w="1560"/>
          </w:tcPr>
          <w:p>
            <w:r>
              <w:t>50%</w:t>
            </w:r>
          </w:p>
        </w:tc>
      </w:tr>
      <w:tr>
        <w:tc>
          <w:tcPr>
            <w:tcW w:type="dxa" w:w="1560"/>
          </w:tcPr>
          <w:p>
            <w:r>
              <w:t>TB</w:t>
            </w:r>
          </w:p>
        </w:tc>
        <w:tc>
          <w:tcPr>
            <w:tcW w:type="dxa" w:w="1560"/>
          </w:tcPr>
          <w:p>
            <w:r>
              <w:t>34</w:t>
            </w:r>
          </w:p>
        </w:tc>
        <w:tc>
          <w:tcPr>
            <w:tcW w:type="dxa" w:w="1560"/>
          </w:tcPr>
          <w:p>
            <w:r>
              <w:t>34</w:t>
            </w:r>
          </w:p>
        </w:tc>
        <w:tc>
          <w:tcPr>
            <w:tcW w:type="dxa" w:w="1560"/>
          </w:tcPr>
          <w:p>
            <w:r>
              <w:t>100%</w:t>
            </w:r>
          </w:p>
        </w:tc>
        <w:tc>
          <w:tcPr>
            <w:tcW w:type="dxa" w:w="1560"/>
          </w:tcPr>
          <w:p>
            <w:r>
              <w:t>27</w:t>
            </w:r>
          </w:p>
        </w:tc>
        <w:tc>
          <w:tcPr>
            <w:tcW w:type="dxa" w:w="1560"/>
          </w:tcPr>
          <w:p>
            <w:r>
              <w:t>79%</w:t>
            </w:r>
          </w:p>
        </w:tc>
      </w:tr>
      <w:tr>
        <w:tc>
          <w:tcPr>
            <w:tcW w:type="dxa" w:w="1560"/>
            <w:tcBorders>
              <w:bottom w:val="single" w:sz="8" w:space="0" w:color="000000"/>
            </w:tcBorders>
          </w:tcPr>
          <w:p>
            <w:r>
              <w:t>Grand total</w:t>
            </w:r>
          </w:p>
        </w:tc>
        <w:tc>
          <w:tcPr>
            <w:tcW w:type="dxa" w:w="1560"/>
            <w:tcBorders>
              <w:bottom w:val="single" w:sz="8" w:space="0" w:color="000000"/>
            </w:tcBorders>
          </w:tcPr>
          <w:p>
            <w:r>
              <w:t>93</w:t>
            </w:r>
          </w:p>
        </w:tc>
        <w:tc>
          <w:tcPr>
            <w:tcW w:type="dxa" w:w="1560"/>
            <w:tcBorders>
              <w:bottom w:val="single" w:sz="8" w:space="0" w:color="000000"/>
            </w:tcBorders>
          </w:tcPr>
          <w:p>
            <w:r>
              <w:t>86</w:t>
            </w:r>
          </w:p>
        </w:tc>
        <w:tc>
          <w:tcPr>
            <w:tcW w:type="dxa" w:w="1560"/>
            <w:tcBorders>
              <w:bottom w:val="single" w:sz="8" w:space="0" w:color="000000"/>
            </w:tcBorders>
          </w:tcPr>
          <w:p>
            <w:r>
              <w:t>92%</w:t>
            </w:r>
          </w:p>
        </w:tc>
        <w:tc>
          <w:tcPr>
            <w:tcW w:type="dxa" w:w="1560"/>
            <w:tcBorders>
              <w:bottom w:val="single" w:sz="8" w:space="0" w:color="000000"/>
            </w:tcBorders>
          </w:tcPr>
          <w:p>
            <w:r>
              <w:t>76</w:t>
            </w:r>
          </w:p>
        </w:tc>
        <w:tc>
          <w:tcPr>
            <w:tcW w:type="dxa" w:w="1560"/>
            <w:tcBorders>
              <w:bottom w:val="single" w:sz="8" w:space="0" w:color="000000"/>
            </w:tcBorders>
          </w:tcPr>
          <w:p>
            <w:r>
              <w:t>82%</w:t>
            </w:r>
          </w:p>
        </w:tc>
      </w:tr>
    </w:tbl>
    <w:p>
      <w:pPr>
        <w:pStyle w:val="ImageCaption"/>
      </w:pPr>
      <w:r>
        <w:t>Figure 5: Health-system resource use by program: (a) budget only, (b) budget + health-workforce constraints</w:t>
      </w:r>
    </w:p>
    <w:p>
      <w:pPr>
        <w:pStyle w:val="CaptionedFigure"/>
      </w:pPr>
      <w:r>
        <w:drawing>
          <wp:inline>
            <wp:extent cx="5120640" cy="5974080"/>
            <wp:docPr id="68" name="Picture 68"/>
            <wp:cNvGraphicFramePr>
              <a:graphicFrameLocks noChangeAspect="1"/>
            </wp:cNvGraphicFramePr>
            <a:graphic>
              <a:graphicData uri="http://schemas.openxmlformats.org/drawingml/2006/picture">
                <pic:pic>
                  <pic:nvPicPr>
                    <pic:cNvPr id="0" name="optimization_fig1_budget_use_by_program.png"/>
                    <pic:cNvPicPr/>
                  </pic:nvPicPr>
                  <pic:blipFill>
                    <a:blip r:embed="rId17"/>
                    <a:stretch>
                      <a:fillRect/>
                    </a:stretch>
                  </pic:blipFill>
                  <pic:spPr>
                    <a:xfrm>
                      <a:off x="0" y="0"/>
                      <a:ext cx="5120640" cy="5974080"/>
                    </a:xfrm>
                    <a:prstGeom prst="rect"/>
                  </pic:spPr>
                </pic:pic>
              </a:graphicData>
            </a:graphic>
          </wp:inline>
        </w:drawing>
      </w:r>
    </w:p>
    <w:p>
      <w:pPr>
        <w:pStyle w:val="SourceNote"/>
      </w:pPr>
      <w:r>
        <w:t>Note: percentage of each resource required, by disease program. Panel (a) health-worker-cadre bars are shown as “not yet available” (no workforce constraint applied in that scenario); panel (b) applies workforce constraints using literature-derived data (see footnote above).</w:t>
      </w:r>
    </w:p>
    <w:p>
      <w:pPr>
        <w:pStyle w:val="ImageCaption"/>
      </w:pPr>
      <w:r>
        <w:t>Figure 6: Marginal value of investing $1,000 in different health-system resources: (a) budget only, (b) budget + health-workforce constraints</w:t>
      </w:r>
    </w:p>
    <w:p>
      <w:pPr>
        <w:pStyle w:val="CaptionedFigure"/>
      </w:pPr>
      <w:r>
        <w:drawing>
          <wp:inline>
            <wp:extent cx="5120640" cy="4267200"/>
            <wp:docPr id="69" name="Picture 69"/>
            <wp:cNvGraphicFramePr>
              <a:graphicFrameLocks noChangeAspect="1"/>
            </wp:cNvGraphicFramePr>
            <a:graphic>
              <a:graphicData uri="http://schemas.openxmlformats.org/drawingml/2006/picture">
                <pic:pic>
                  <pic:nvPicPr>
                    <pic:cNvPr id="0" name="optimization_fig2_marginal_value.png"/>
                    <pic:cNvPicPr/>
                  </pic:nvPicPr>
                  <pic:blipFill>
                    <a:blip r:embed="rId18"/>
                    <a:stretch>
                      <a:fillRect/>
                    </a:stretch>
                  </pic:blipFill>
                  <pic:spPr>
                    <a:xfrm>
                      <a:off x="0" y="0"/>
                      <a:ext cx="5120640" cy="4267200"/>
                    </a:xfrm>
                    <a:prstGeom prst="rect"/>
                  </pic:spPr>
                </pic:pic>
              </a:graphicData>
            </a:graphic>
          </wp:inline>
        </w:drawing>
      </w:r>
    </w:p>
    <w:p>
      <w:pPr>
        <w:pStyle w:val="SourceNote"/>
      </w:pPr>
      <w:r>
        <w:t>Note: additional net DALYs averted from $1,000 more of each resource. Health-worker-cadre values are not shown in either panel: converting $1,000 into cadre time requires a salary figure by cadre, not yet available for this exercise.</w:t>
      </w:r>
    </w:p>
    <w:p>
      <w:pPr>
        <w:pStyle w:val="BodyText"/>
      </w:pPr>
      <w:r>
        <w:t>Scenarios (i)-(ii) reflect a single financial constraint only, with no health-workforce time or capacity constraint by cadre, no task-shifting scenario, and no substitutable or complementary intervention pairs identified (see Section 4 for the full list of gaps and the data needed to close them). Scenario (iii) illustrates the workforce-constrained extension using literature-derived data, pending a Senegal-specific workforce source. The $120 million budget figure is provisional and we will revise it once a confirmed MSAS consumables-budget line item is available; every downstream number in this section moves automatically when we do</w:t>
      </w:r>
      <w:r>
        <w:rPr>
          <w:rStyle w:val="FootnoteReference"/>
        </w:rPr>
        <w:footnoteReference w:id="43"/>
      </w:r>
      <w:r>
        <w:t xml:space="preserve">.</w:t>
      </w:r>
    </w:p>
    <w:p>
      <w:pPr>
        <w:pStyle w:val="Heading2"/>
      </w:pPr>
      <w:r>
        <w:t>3.3 Distributional cost-effectiveness analysis (DCEA)</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ImageCaption"/>
      </w:pPr>
      <w:r>
        <w:t>Figure 7: Health equity impact plane, wealth quintile</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Figure 8: Health equity impact plane, residence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t>4. Limitations</w:t>
      </w:r>
    </w:p>
    <w:p>
      <w:pPr>
        <w:pStyle w:val="FirstParagraph"/>
      </w:pPr>
      <w: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pPr>
      <w: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workforce-constrained version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t>References</w:t>
      </w:r>
    </w:p>
    <w:p>
      <w:pPr>
        <w:pStyle w:val="FirstParagraph"/>
      </w:pPr>
      <w:r>
        <w:t>Asaria, M., Griffin, S., &amp; Cookson, R. (2016). Distributional cost-effectiveness analysis: a tutorial. Medical Decision Making, 36(1), 8-19.</w:t>
      </w:r>
    </w:p>
    <w:p>
      <w:pPr>
        <w:pStyle w:val="FirstParagraph"/>
      </w:pPr>
      <w:r>
        <w:t>Atkinson, A. B. (1970). On the measurement of inequality. Journal of Economic Theory, 2(3), 244-263.</w:t>
      </w:r>
    </w:p>
    <w:p>
      <w:pPr>
        <w:pStyle w:val="FirstParagraph"/>
      </w:pPr>
      <w:r>
        <w:t>Cookson, R., Griffin, S., Norheim, O. F., &amp; Culyer, A. J. (Eds.). (2021). Distributional Cost-Effectiveness Analysis: Quantifying Health Equity Impacts and Trade-offs. Oxford University Press.</w:t>
      </w:r>
    </w:p>
    <w:p>
      <w:pPr>
        <w:pStyle w:val="FirstParagraph"/>
      </w:pPr>
      <w:r>
        <w:t>Drummond, M. F., Sculpher, M. J., Claxton, K., Stoddart, G. L., &amp; Torrance, G. W. (2015). Methods for the Economic Evaluation of Health Care Programmes (4th ed.). Oxford University Press.</w:t>
      </w:r>
    </w:p>
    <w:p>
      <w:pPr>
        <w:pStyle w:val="FirstParagraph"/>
      </w:pPr>
      <w:r>
        <w:t>Stinnett, A. A., &amp; Mullahy, J. (1998). Net health benefits: a new framework for the analysis of uncertainty in cost-effectiveness analysis. Medical Decision Making, 18(2_suppl), S68-S80.</w:t>
      </w:r>
    </w:p>
    <w:p>
      <w:pPr>
        <w:pStyle w:val="FirstParagraph"/>
      </w:pPr>
      <w:r>
        <w:t>Stinnett, A. A., &amp; Paltiel, A. D. (1996). Mathematical programming for the efficient allocation of health care resources. Journal of Health Economics, 15(5), 641-653.</w:t>
      </w:r>
    </w:p>
    <w:p>
      <w:pPr>
        <w:pStyle w:val="Heading1"/>
      </w:pPr>
      <w:r>
        <w:t>Appendix: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league_table_final.xlsx</w:t>
      </w:r>
      <w:r>
        <w:t xml:space="preserve">, </w:t>
      </w:r>
      <w:r>
        <w:rPr>
          <w:rStyle w:val="VerbatimChar"/>
        </w:rPr>
        <w:t>funnel_tracking.xlsx</w:t>
      </w:r>
      <w:r>
        <w:t xml:space="preserve">, </w:t>
      </w:r>
      <w:r>
        <w:rPr>
          <w:rStyle w:val="VerbatimChar"/>
        </w:rPr>
        <w:t>detailed_findings.xlsx</w:t>
      </w:r>
      <w:r>
        <w:t xml:space="preserve">, and </w:t>
      </w:r>
      <w:r>
        <w:rPr>
          <w:rStyle w:val="VerbatimChar"/>
        </w:rPr>
        <w:t>dcea_results.xlsx</w:t>
      </w:r>
      <w: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1">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pPr>
      <w:r>
        <w:rPr>
          <w:rStyle w:val="FootnoteReference"/>
        </w:rPr>
        <w:footnoteRef/>
      </w:r>
      <w: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sz w:val="18"/>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Note">
    <w:name w:val="Source Note"/>
    <w:basedOn w:val="BodyText"/>
    <w:pPr>
      <w:spacing w:before="40" w:after="240"/>
    </w:pPr>
    <w:rPr>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