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55.png" ContentType="image/png"/>
  <Override PartName="/word/media/rId47.png" ContentType="image/png"/>
  <Override PartName="/word/media/rId50.png" ContentType="image/png"/>
  <Override PartName="/word/media/rId4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Defining the Health Benefits Package in Senegal — Results Note (Dry Run, v1.1)</w:t>
      </w:r>
    </w:p>
    <w:bookmarkStart w:id="20" w:name="executive-summary"/>
    <w:p>
      <w:pPr>
        <w:pStyle w:val="Heading1"/>
      </w:pPr>
      <w:r>
        <w:t xml:space="preserve">Executive summary</w:t>
      </w:r>
    </w:p>
    <w:p>
      <w:pPr>
        <w:pStyle w:val="FirstParagraph"/>
      </w:pPr>
      <w:r>
        <w:t xml:space="preserve">This note presents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 xml:space="preserve">Three items are confirmed for this run and open for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and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w:t>
      </w:r>
    </w:p>
    <w:bookmarkEnd w:id="20"/>
    <w:bookmarkStart w:id="23" w:name="demographic-and-health-status-profile"/>
    <w:p>
      <w:pPr>
        <w:pStyle w:val="Heading1"/>
      </w:pPr>
      <w:r>
        <w:t xml:space="preserve">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bookmarkEnd w:id="23"/>
    <w:bookmarkStart w:id="28" w:name="senegals-disease-burden"/>
    <w:p>
      <w:pPr>
        <w:pStyle w:val="Heading1"/>
      </w:pPr>
      <w:r>
        <w:t xml:space="preserve">2. Senegal’s 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 xml:space="preserve">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Category (Level 1 GBD)</w:t>
            </w:r>
          </w:p>
        </w:tc>
        <w:tc>
          <w:tcPr/>
          <w:p>
            <w:pPr>
              <w:pStyle w:val="Compact"/>
              <w:jc w:val="left"/>
            </w:pPr>
            <w:r>
              <w:t xml:space="preserve">Cause (Level 3 GBD)</w:t>
            </w:r>
          </w:p>
        </w:tc>
        <w:tc>
          <w:tcPr/>
          <w:p>
            <w:pPr>
              <w:pStyle w:val="Compact"/>
              <w:jc w:val="right"/>
            </w:pPr>
            <w:r>
              <w:t xml:space="preserve">% of total DALYs</w:t>
            </w:r>
          </w:p>
        </w:tc>
        <w:tc>
          <w:tcPr/>
          <w:p>
            <w:pPr>
              <w:pStyle w:val="Compact"/>
              <w:jc w:val="right"/>
            </w:pPr>
            <w: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p>
            <w:pPr>
              <w:pStyle w:val="Compact"/>
              <w:jc w:val="left"/>
            </w:pPr>
            <w:r>
              <w:t xml:space="preserve">Non-communicable diseases</w:t>
            </w:r>
          </w:p>
        </w:tc>
        <w:tc>
          <w:tcPr/>
          <w:p>
            <w:pPr>
              <w:pStyle w:val="Compact"/>
              <w:jc w:val="left"/>
            </w:pPr>
            <w:r>
              <w:t xml:space="preserve">Hemoglobinopathies and hemolytic anemias</w:t>
            </w:r>
          </w:p>
        </w:tc>
        <w:tc>
          <w:tcPr/>
          <w:p>
            <w:pPr>
              <w:pStyle w:val="Compact"/>
              <w:jc w:val="right"/>
            </w:pPr>
            <w:r>
              <w:t xml:space="preserve">1.4</w:t>
            </w:r>
          </w:p>
        </w:tc>
        <w:tc>
          <w:tcPr/>
          <w:p>
            <w:pPr>
              <w:pStyle w:val="Compact"/>
              <w:jc w:val="right"/>
            </w:pPr>
            <w:r>
              <w:t xml:space="preserve">63.0</w:t>
            </w:r>
          </w:p>
        </w:tc>
      </w:tr>
    </w:tbl>
    <w:p>
      <w:pPr>
        <w:pStyle w:val="BodyText"/>
      </w:pPr>
      <w:r>
        <w:rPr>
          <w:iCs/>
          <w:i/>
        </w:rPr>
        <w:t xml:space="preserve">Source: IHME, Global Burden of Disease (GBD), Senegal, DALYs 2023.</w:t>
      </w:r>
    </w:p>
    <w:p>
      <w:pPr>
        <w:pStyle w:val="CaptionedFigure"/>
      </w:pPr>
      <w:r>
        <w:drawing>
          <wp:inline>
            <wp:extent cx="5334000" cy="2851085"/>
            <wp:effectExtent b="0" l="0" r="0" t="0"/>
            <wp:docPr descr="Top 20 causes of DALYs in Senegal, 2023" title="" id="26" name="Picture"/>
            <a:graphic>
              <a:graphicData uri="http://schemas.openxmlformats.org/drawingml/2006/picture">
                <pic:pic>
                  <pic:nvPicPr>
                    <pic:cNvPr descr="assets/gbd_treemap.png" id="27" name="Picture"/>
                    <pic:cNvPicPr>
                      <a:picLocks noChangeArrowheads="1" noChangeAspect="1"/>
                    </pic:cNvPicPr>
                  </pic:nvPicPr>
                  <pic:blipFill>
                    <a:blip r:embed="rId25"/>
                    <a:stretch>
                      <a:fillRect/>
                    </a:stretch>
                  </pic:blipFill>
                  <pic:spPr bwMode="auto">
                    <a:xfrm>
                      <a:off x="0" y="0"/>
                      <a:ext cx="5334000" cy="2851085"/>
                    </a:xfrm>
                    <a:prstGeom prst="rect">
                      <a:avLst/>
                    </a:prstGeom>
                    <a:noFill/>
                    <a:ln w="9525">
                      <a:noFill/>
                      <a:headEnd/>
                      <a:tailEnd/>
                    </a:ln>
                  </pic:spPr>
                </pic:pic>
              </a:graphicData>
            </a:graphic>
          </wp:inline>
        </w:drawing>
      </w:r>
    </w:p>
    <w:p>
      <w:pPr>
        <w:pStyle w:val="ImageCaption"/>
      </w:pPr>
      <w:r>
        <w:t xml:space="preserve">Top 20 causes of DALYs in Senegal, 2023</w:t>
      </w:r>
    </w:p>
    <w:p>
      <w:pPr>
        <w:pStyle w:val="BodyText"/>
      </w:pPr>
      <w:r>
        <w:rPr>
          <w:iCs/>
          <w:i/>
        </w:rPr>
        <w:t xml:space="preserve">Source: IHME, Global Burden of Disease (GBD), Senegal, DALYs 2023.</w:t>
      </w:r>
    </w:p>
    <w:bookmarkEnd w:id="28"/>
    <w:bookmarkStart w:id="31" w:name="X2e6fc6a3726006d756da23d1ad7c3975e968ef5"/>
    <w:p>
      <w:pPr>
        <w:pStyle w:val="Heading1"/>
      </w:pPr>
      <w:r>
        <w:t xml:space="preserve">3. Health service needs: intervention architecture against the burden</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 xml:space="preserve">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OHT module</w:t>
            </w:r>
          </w:p>
        </w:tc>
        <w:tc>
          <w:tcPr/>
          <w:p>
            <w:pPr>
              <w:pStyle w:val="Compact"/>
              <w:jc w:val="right"/>
            </w:pPr>
            <w:r>
              <w:t xml:space="preserve">N interventions</w:t>
            </w:r>
          </w:p>
        </w:tc>
        <w:tc>
          <w:tcPr/>
          <w:p>
            <w:pPr>
              <w:pStyle w:val="Compact"/>
              <w:jc w:val="right"/>
            </w:pPr>
            <w: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p>
            <w:pPr>
              <w:pStyle w:val="Compact"/>
              <w:jc w:val="left"/>
            </w:pPr>
            <w:r>
              <w:t xml:space="preserve">Tuberculosis</w:t>
            </w:r>
          </w:p>
        </w:tc>
        <w:tc>
          <w:tcPr/>
          <w:p>
            <w:pPr>
              <w:pStyle w:val="Compact"/>
              <w:jc w:val="right"/>
            </w:pPr>
            <w:r>
              <w:t xml:space="preserve">77</w:t>
            </w:r>
          </w:p>
        </w:tc>
        <w:tc>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bookmarkEnd w:id="31"/>
    <w:bookmarkStart w:id="35" w:name="health-system-priorities"/>
    <w:p>
      <w:pPr>
        <w:pStyle w:val="Heading1"/>
      </w:pPr>
      <w:r>
        <w:t xml:space="preserve">4.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2-3 is reconciled with the existing PMA/PCA list at the decision-criteria and prioritization steps, not substituted for it.</w:t>
      </w:r>
    </w:p>
    <w:bookmarkEnd w:id="35"/>
    <w:bookmarkStart w:id="39" w:name="current-financing-landscape"/>
    <w:p>
      <w:pPr>
        <w:pStyle w:val="Heading1"/>
      </w:pPr>
      <w:r>
        <w:t xml:space="preserve">5. Current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bookmarkEnd w:id="39"/>
    <w:bookmarkStart w:id="44" w:name="how-the-league-table-is-built"/>
    <w:p>
      <w:pPr>
        <w:pStyle w:val="Heading1"/>
      </w:pPr>
      <w:r>
        <w:t xml:space="preserve">6. How the league table is built</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Intervention funnel, 389 to 95</w:t>
      </w:r>
    </w:p>
    <w:bookmarkEnd w:id="44"/>
    <w:bookmarkStart w:id="53" w:name="cost-effectiveness-results"/>
    <w:p>
      <w:pPr>
        <w:pStyle w:val="Heading1"/>
      </w:pPr>
      <w:r>
        <w:t xml:space="preserve">7. Cost-effectiveness results</w:t>
      </w:r>
    </w:p>
    <w:p>
      <w:pPr>
        <w:pStyle w:val="FirstParagraph"/>
      </w:pPr>
      <w:r>
        <w:t xml:space="preserve">Cost-effectiveness is assessed at a cost-effectiveness threshold (CET) of $485 per DALY averted, the Senegal-specific reference value used as the base case for this run,</w:t>
      </w:r>
      <w:r>
        <w:rPr>
          <w:rStyle w:val="FootnoteReference"/>
        </w:rPr>
        <w:footnoteReference w:id="45"/>
      </w:r>
      <w:r>
        <w:t xml:space="preserve"> with sensitivity scenarios at 50%, 150%, and 200% of that value ($242.50, $727.50, $970).</w:t>
      </w:r>
    </w:p>
    <w:p>
      <w:pPr>
        <w:pStyle w:val="BodyText"/>
      </w:pPr>
      <w:r>
        <w:t xml:space="preserve">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 xml:space="preserve">Net health benefit, as used in this note, corresponds to the net DALYs averted reported in Mohan et al. (2023):</w:t>
      </w:r>
      <w:r>
        <w:rPr>
          <w:rStyle w:val="FootnoteReference"/>
        </w:rPr>
        <w:footnoteReference w:id="46"/>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Efficiency frontier: DALYs averted per $1,000 spent, all costed interventions ordered by ICER, coloured by cost-effectiveness at the CET</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Interventions ranked by net health benefit, with cumulative spend</w:t>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bookmarkEnd w:id="53"/>
    <w:bookmarkStart w:id="61" w:name="Xb4d8bd95979f330ce285904957bb4fa9822bb43"/>
    <w:p>
      <w:pPr>
        <w:pStyle w:val="Heading1"/>
      </w:pPr>
      <w:r>
        <w:t xml:space="preserve">8. Equity: distributional cost-effectiveness analysis</w:t>
      </w:r>
    </w:p>
    <w:p>
      <w:pPr>
        <w:pStyle w:val="FirstParagraph"/>
      </w:pPr>
      <w:r>
        <w:t xml:space="preserve">The distributional cost-effectiveness analysis (DCEA) follows Arnold, Nkhoma and Griffin (2020),</w:t>
      </w:r>
      <w:r>
        <w:rPr>
          <w:rStyle w:val="FootnoteReference"/>
        </w:rPr>
        <w:footnoteReference w:id="54"/>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wealth quintile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residence</w:t>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bookmarkEnd w:id="61"/>
    <w:bookmarkStart w:id="65" w:name="limitations-and-next-steps"/>
    <w:p>
      <w:pPr>
        <w:pStyle w:val="Heading1"/>
      </w:pPr>
      <w:r>
        <w:t xml:space="preserve">9. Limitations and next steps</w:t>
      </w:r>
    </w:p>
    <w:p>
      <w:pPr>
        <w:pStyle w:val="FirstParagraph"/>
      </w:pPr>
      <w:r>
        <w:t xml:space="preserve">The four-filter selection in Section 6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 xml:space="preserve">The DCEA baseline health index and opportunity-cost allocation rely on the four placeholder parameters listed in Section 8, pending access to Senegal Continuous DHS 2023 microdata (Household, Individual, Births, Children’s, and Siblings recodes) requested for this purpose.</w:t>
      </w:r>
    </w:p>
    <w:p>
      <w:pPr>
        <w:pStyle w:val="BodyText"/>
      </w:pPr>
      <w:r>
        <w:t xml:space="preserve">This run does not include the following components of the EasyHealth WP3 analysis plan: selection of a package under a fixed budget envelope expressed in CFA francs (Section 3 of the analysis plan template); probabilistic sensitivity analysis with joint parameter uncertainty (Section 5); implementation capacity constraints by region or facility (Section 7); and pre-registration of the analysis plan with MSAS sign-off (Section 8). These are proposed as the next iteration’s scope, once the CET base value, unit-cost source hierarchy, and DCEA baseline parameters confirmed in this note are agreed.</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 xml:space="preserve">Two established methods determine which interventions enter a health benefits package. Ranking interventions by ICER against a CET, and including those at or below the threshold, is the method used in Sections 6-7 of this note.</w:t>
      </w:r>
      <w:r>
        <w:rPr>
          <w:rStyle w:val="FootnoteReference"/>
        </w:rPr>
        <w:footnoteReference w:id="62"/>
      </w:r>
      <w:r>
        <w:t xml:space="preserve"> Constrained optimization instead selects a coverage level for each intervention to maximize net DALYs averted subject to joint financial and health-workforce constraints, and does not reduce to ICER ranking once a workforce cadre is scarce: an intervention with a favorable ICER can be excluded by a binding time constraint on the cadre that delivers it, and an intervention with a less favorable ICER can be included where it draws on an underused cadre.</w:t>
      </w:r>
      <w:r>
        <w:rPr>
          <w:rStyle w:val="FootnoteReference"/>
        </w:rPr>
        <w:footnoteReference w:id="63"/>
      </w:r>
      <w:r>
        <w:t xml:space="preserve"> This note reports the ICER-ranking result only. Extending it to a constrained-optimization formulation requires three inputs not yet collected for Senegal: health-worker time per patient by cadre, workforce capacity by cadre, and a consumables budget envelope in CFA francs (Table 3).</w:t>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r>
        <w:rPr>
          <w:rStyle w:val="FootnoteReference"/>
        </w:rPr>
        <w:footnoteReference w:id="64"/>
      </w:r>
    </w:p>
    <w:bookmarkEnd w:id="65"/>
    <w:bookmarkStart w:id="66" w:name="data-sources-and-model-parameters"/>
    <w:p>
      <w:pPr>
        <w:pStyle w:val="Heading1"/>
      </w:pPr>
      <w:r>
        <w:t xml:space="preserve">10. Data sources and model parameters</w:t>
      </w:r>
    </w:p>
    <w:p>
      <w:pPr>
        <w:pStyle w:val="FirstParagraph"/>
      </w:pPr>
      <w:r>
        <w:rPr>
          <w:bCs/>
          <w:b/>
        </w:rPr>
        <w:t xml:space="preserve">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 parameter</w:t>
            </w:r>
          </w:p>
        </w:tc>
        <w:tc>
          <w:tcPr/>
          <w:p>
            <w:pPr>
              <w:pStyle w:val="Compact"/>
              <w:jc w:val="left"/>
            </w:pPr>
            <w:r>
              <w:t xml:space="preserve">Source</w:t>
            </w:r>
          </w:p>
        </w:tc>
        <w:tc>
          <w:tcPr/>
          <w:p>
            <w:pPr>
              <w:pStyle w:val="Compact"/>
              <w:jc w:val="left"/>
            </w:pPr>
            <w:r>
              <w:t xml:space="preserve">Country-specific?</w:t>
            </w:r>
          </w:p>
        </w:tc>
        <w:tc>
          <w:tcPr/>
          <w:p>
            <w:pPr>
              <w:pStyle w:val="Compact"/>
              <w:jc w:val="left"/>
            </w:pPr>
            <w:r>
              <w:t xml:space="preserve">Year</w:t>
            </w:r>
          </w:p>
        </w:tc>
        <w:tc>
          <w:tcPr/>
          <w:p>
            <w:pPr>
              <w:pStyle w:val="Compact"/>
              <w:jc w:val="left"/>
            </w:pPr>
            <w: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 xml:space="preserve">Ochalek et al. (2026), medRxiv, GBD 2023,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 xml:space="preserve">Required for a constrained-optimization extension; not present in this run</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 xml:space="preserve">Same limitation</w:t>
            </w:r>
          </w:p>
        </w:tc>
      </w:tr>
      <w:tr>
        <w:tc>
          <w:tcPr/>
          <w:p>
            <w:pPr>
              <w:pStyle w:val="Compact"/>
              <w:jc w:val="left"/>
            </w:pPr>
            <w:r>
              <w:t xml:space="preserve">Consumables budget envelope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 xml:space="preserve">The league table reports an implied budget ($195.7 million at the base CET) rather than allocating against a fixed ceiling</w:t>
            </w:r>
          </w:p>
        </w:tc>
      </w:tr>
      <w:tr>
        <w:tc>
          <w:tcPr/>
          <w:p>
            <w:pPr>
              <w:pStyle w:val="Compact"/>
              <w:jc w:val="left"/>
            </w:pPr>
            <w:r>
              <w:t xml:space="preserve">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p>
            <w:pPr>
              <w:pStyle w:val="Compact"/>
              <w:jc w:val="left"/>
            </w:pPr>
            <w:r>
              <w:t xml:space="preserve">Monetary year</w:t>
            </w:r>
          </w:p>
        </w:tc>
        <w:tc>
          <w:tcPr/>
          <w:p>
            <w:pPr>
              <w:pStyle w:val="Compact"/>
              <w:jc w:val="left"/>
            </w:pPr>
            <w:r>
              <w:t xml:space="preserve">2023 USD (OHT); 2026 estimate (CET)</w:t>
            </w:r>
          </w:p>
        </w:tc>
        <w:tc>
          <w:tcPr/>
          <w:p>
            <w:pPr>
              <w:pStyle w:val="Compact"/>
              <w:jc w:val="left"/>
            </w:pPr>
            <w:r>
              <w:t xml:space="preserve">—</w:t>
            </w:r>
          </w:p>
        </w:tc>
        <w:tc>
          <w:tcPr/>
          <w:p>
            <w:pPr>
              <w:pStyle w:val="Compact"/>
              <w:jc w:val="left"/>
            </w:pPr>
            <w:r>
              <w:t xml:space="preserve">Mixed</w:t>
            </w:r>
          </w:p>
        </w:tc>
        <w:tc>
          <w:tcPr/>
          <w:p>
            <w:pPr>
              <w:pStyle w:val="Compact"/>
              <w:jc w:val="left"/>
            </w:pPr>
            <w:r>
              <w:t xml:space="preserve">Not yet harmonized to a single price year across cost and CET sources</w:t>
            </w:r>
          </w:p>
        </w:tc>
      </w:tr>
    </w:tbl>
    <w:bookmarkEnd w:id="66"/>
    <w:bookmarkStart w:id="67" w:name="accompanying-files"/>
    <w:p>
      <w:pPr>
        <w:pStyle w:val="Heading1"/>
      </w:pPr>
      <w:r>
        <w:t xml:space="preserve">11.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 xml:space="preserve">league_table_final.xlsx</w:t>
      </w:r>
      <w:r>
        <w:t xml:space="preserve">, </w:t>
      </w:r>
      <w:r>
        <w:rPr>
          <w:rStyle w:val="VerbatimChar"/>
        </w:rPr>
        <w:t xml:space="preserve">funnel_tracking.xlsx</w:t>
      </w:r>
      <w:r>
        <w:t xml:space="preserve">, </w:t>
      </w:r>
      <w:r>
        <w:rPr>
          <w:rStyle w:val="VerbatimChar"/>
        </w:rPr>
        <w:t xml:space="preserve">detailed_findings.xlsx</w:t>
      </w:r>
      <w:r>
        <w:t xml:space="preserve">, and </w:t>
      </w:r>
      <w:r>
        <w:rPr>
          <w:rStyle w:val="VerbatimChar"/>
        </w:rPr>
        <w:t xml:space="preserve">dcea_results.xlsx</w:t>
      </w:r>
      <w:r>
        <w:t xml:space="preserve">.</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5">
    <w:p>
      <w:pPr>
        <w:pStyle w:val="FootnoteText"/>
      </w:pPr>
      <w:r>
        <w:rPr>
          <w:rStyle w:val="FootnoteReference"/>
        </w:rPr>
        <w:footnoteRef/>
      </w:r>
      <w:r>
        <w:t xml:space="preserve"> </w:t>
      </w:r>
      <w:r>
        <w:t xml:space="preserve">Ochalek et al. (2026), medRxiv, GBD 2023, 92 low- and lower-middle-income countries.</w:t>
      </w:r>
    </w:p>
  </w:footnote>
  <w:footnote w:id="46">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54">
    <w:p>
      <w:pPr>
        <w:pStyle w:val="FootnoteText"/>
      </w:pPr>
      <w:r>
        <w:rPr>
          <w:rStyle w:val="FootnoteReference"/>
        </w:rPr>
        <w:footnoteRef/>
      </w:r>
      <w:r>
        <w:t xml:space="preserve"> </w:t>
      </w:r>
      <w:r>
        <w:t xml:space="preserve">Arnold M., Nkhoma D., Griffin S. (2020),</w:t>
      </w:r>
      <w:r>
        <w:t xml:space="preserve"> </w:t>
      </w:r>
      <w:r>
        <w:t xml:space="preserve">“</w:t>
      </w:r>
      <w:r>
        <w:t xml:space="preserve">Distributional impact of the Malawian Essential Health Package,</w:t>
      </w:r>
      <w:r>
        <w:t xml:space="preserve">”</w:t>
      </w:r>
      <w:r>
        <w:t xml:space="preserve"> </w:t>
      </w:r>
      <w:r>
        <w:t xml:space="preserve">Health Policy and Planning 35(6):646-656.</w:t>
      </w:r>
    </w:p>
  </w:footnote>
  <w:footnote w:id="62">
    <w:p>
      <w:pPr>
        <w:pStyle w:val="FootnoteText"/>
      </w:pPr>
      <w:r>
        <w:rPr>
          <w:rStyle w:val="FootnoteReference"/>
        </w:rPr>
        <w:footnoteRef/>
      </w:r>
      <w:r>
        <w:t xml:space="preserve"> </w:t>
      </w:r>
      <w:r>
        <w:t xml:space="preserve">Ochalek et al. (2026), medRxiv, GBD 2023, 92 low- and lower-middle-income countries.</w:t>
      </w:r>
    </w:p>
  </w:footnote>
  <w:footnote w:id="63">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64">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