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Title"/>
      </w:pPr>
      <w:r>
        <w:t>Defining the Health Benefits Package in Senegal — Results Note (Dry Run, v2)</w:t>
      </w:r>
    </w:p>
    <w:p>
      <w:pPr>
        <w:pStyle w:val="Heading1"/>
      </w:pPr>
      <w:r>
        <w:t>Abstract</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A first constrained-optimization run, using a provisional $120 million consumables budget (Stage 1, budget constraint only), retains 76 of the 86 cost-effective interventions while using 100% of that budget, with net DALYs averted essentially unchanged (70.9 million vs 71.0 million) relative to no budget constraint at all — an early illustration of the method pending Senegal-specific health-workforce data for a full Stage-2 analysis (Section 5.1).</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Four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Stage-1 constrained optimization ($120 million, Section 5.1).</w:t>
      </w:r>
    </w:p>
    <w:p>
      <w:pPr>
        <w:pStyle w:val="Heading1"/>
      </w:pPr>
      <w:r>
        <w:t>1. Introduction</w:t>
      </w:r>
    </w:p>
    <w:p>
      <w:pPr>
        <w:pStyle w:val="FirstParagraph"/>
      </w:pPr>
      <w:r>
        <w:t>Senegal's Ministry of Health and Social Action (MSAS) is defining a national health benefits package (HBP) to guide priority-setting under resource constraints. This note applies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3.1-3.2 is reconciled with the existing PMA/PCA list at the decision-criteria and prioritization steps, not substituted for it.</w:t>
      </w:r>
    </w:p>
    <w:p>
      <w:pPr>
        <w:pStyle w:val="Heading1"/>
      </w:pPr>
      <w:r>
        <w:t>2. Methods</w:t>
      </w:r>
    </w:p>
    <w:p>
      <w:pPr>
        <w:pStyle w:val="Heading2"/>
      </w:pPr>
      <w:r>
        <w:t>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Intervention funnel, 389 to 95</w:t>
      </w:r>
    </w:p>
    <w:p>
      <w:pPr>
        <w:pStyle w:val="Heading2"/>
      </w:pPr>
      <w:r>
        <w:t>Cost-effectiveness threshold</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with sensitivity scenarios at 50%, 150%, and 200% of that value ($242.50, $727.50, $970).</w:t>
      </w:r>
    </w:p>
    <w:p>
      <w:pPr>
        <w:pStyle w:val="BodyText"/>
      </w:pPr>
      <w:r>
        <w:t xml:space="preserve">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w:t>
      </w:r>
    </w:p>
    <w:p>
      <w:pPr>
        <w:pStyle w:val="Heading2"/>
      </w:pPr>
      <w:r>
        <w:t>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(Section 2.2, with results in Section 4). The two methods are mathematically equivalent whenever the only binding constraint is a single linear budget — the case in this first run, described below as Stage 1 — and diverge once health-workforce time constraints are added by cadre (Stage 2, not yet run for Senegal; see Section 6).</w:t>
      </w:r>
    </w:p>
    <w:p>
      <w:pPr>
        <w:pStyle w:val="BodyText"/>
      </w:pPr>
      <w:r>
        <w:t>This run uses a provisional consumables budget of $120 million, a working value pending a confirmed MSAS consumables-budget line item (config.R); it is not yet expressed in CFA francs or benchmarked against an actual government budget record, and should be read as illustrative of the method rather than as a policy-ready ceiling.</w:t>
      </w:r>
    </w:p>
    <w:p>
      <w:pPr>
        <w:pStyle w:val="Heading2"/>
      </w:pPr>
      <w:r>
        <w:t>Distributional cost-effectiveness analysis</w:t>
      </w:r>
    </w:p>
    <w:p>
      <w:pPr>
        <w:pStyle w:val="FirstParagraph"/>
      </w:pPr>
      <w:r>
        <w:t>The distributional cost-effectiveness analysis (DCEA) follows the standard equity-stratified DCEA methodology,</w:t>
      </w:r>
      <w:r>
        <w:rPr>
          <w:rStyle w:val="FootnoteReference"/>
        </w:rPr>
        <w:footnoteReference w:id="54"/>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w:t>
      </w:r>
    </w:p>
    <w:p>
      <w:pPr>
        <w:pStyle w:val="Heading1"/>
      </w:pPr>
      <w:r>
        <w:t>3. Data sources</w:t>
      </w:r>
    </w:p>
    <w:p>
      <w:pPr>
        <w:pStyle w:val="Heading2"/>
      </w:pPr>
      <w:r>
        <w:t>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 xml:space="preserve">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ImageCaption"/>
      </w:pPr>
      <w:r>
        <w:t xml:space="preserve">Top 20 causes of DALYs in Senegal, 2023</w:t>
      </w:r>
    </w:p>
    <w:p>
      <w:pPr>
        <w:pStyle w:val="BodyText"/>
      </w:pPr>
      <w:r>
        <w:rPr>
          <w:iCs/>
          <w:i/>
        </w:rPr>
        <w:t xml:space="preserve">Source: IHME, Global Burden of Disease (GBD), Senegal, DALYs 2023.</w:t>
      </w:r>
    </w:p>
    <w:p>
      <w:pPr>
        <w:pStyle w:val="Heading2"/>
      </w:pPr>
      <w:r>
        <w:t>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 xml:space="preserve">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2"/>
      </w:pPr>
      <w:r>
        <w:t>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2"/>
      </w:pPr>
      <w:r>
        <w:t>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the constrained-optimization results in Section 5.1 do not yet include a health-workforce constraint (Stage 2 of this analysis, pending that data). The consumables budget used as the sole resource constraint in Section 5.1 is a provisional $120 million working value (config.R), not yet drawn from an actual government budget record; it should be replaced with a confirmed MSAS consumables-budget line item as soon as one is available, at which point every downstream number in Section 5.1 updates automatically.</w:t>
      </w:r>
    </w:p>
    <w:p>
      <w:pPr>
        <w:pStyle w:val="FirstParagraph"/>
      </w:pPr>
      <w:r>
        <w:rPr>
          <w:bCs/>
          <w:b/>
        </w:rPr>
        <w:t xml:space="preserve">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the Stage-2 constrained-optimization extension (Section 8);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(Stage 2, Section 8)</w:t>
            </w:r>
          </w:p>
        </w:tc>
      </w:tr>
      <w:tr>
        <w:tc>
          <w:tcPr/>
          <w:p>
            <w:pPr>
              <w:pStyle w:val="Compact"/>
              <w:jc w:val="left"/>
            </w:pPr>
            <w:r>
              <w:t xml:space="preserve">Consumables budget envelope</w:t>
            </w:r>
          </w:p>
        </w:tc>
        <w:tc>
          <w:tcPr/>
          <w:p>
            <w:pPr>
              <w:pStyle w:val="Compact"/>
              <w:jc w:val="left"/>
            </w:pPr>
            <w:r>
              <w:t>config.R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Stage-1 constrained optimization (Section 8); $120 million placeholder pending a confirmed MSAS consumables-budget line item</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p>
      <w:pPr>
        <w:pStyle w:val="Heading1"/>
      </w:pPr>
      <w:r>
        <w:t>4. Cost-effectiveness</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rPr>
          <w:rStyle w:val="FootnoteReference"/>
        </w:rPr>
        <w:footnoteReference w:id="46"/>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Efficiency frontier: DALYs averted per $1,000 spent, all costed interventions ordered by ICER, coloured by cost-effectiveness at the CET</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Interventions ranked by net health benefit, with cumulative spend</w:t>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1"/>
      </w:pPr>
      <w:r>
        <w:t>5. Findings</w:t>
      </w:r>
    </w:p>
    <w:p>
      <w:pPr>
        <w:pStyle w:val="Heading2"/>
      </w:pPr>
      <w:r>
        <w:t>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4.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No budget constraint (CET only)</w:t>
            </w:r>
          </w:p>
        </w:tc>
        <w:tc>
          <w:tcPr>
            <w:tcW w:type="dxa" w:w="3120"/>
          </w:tcPr>
          <w:p>
            <w:r>
              <w:t>Provisional budget ($120M)</w:t>
            </w:r>
          </w:p>
        </w:tc>
      </w:tr>
      <w:tr>
        <w:tc>
          <w:tcPr>
            <w:tcW w:type="dxa" w:w="3120"/>
          </w:tcPr>
          <w:p>
            <w:r>
              <w:t>Number of interventions with positive net health benefit</w:t>
            </w:r>
          </w:p>
        </w:tc>
        <w:tc>
          <w:tcPr>
            <w:tcW w:type="dxa" w:w="3120"/>
          </w:tcPr>
          <w:p>
            <w:r>
              <w:t>86</w:t>
            </w:r>
          </w:p>
        </w:tc>
        <w:tc>
          <w:tcPr>
            <w:tcW w:type="dxa" w:w="3120"/>
          </w:tcPr>
          <w:p>
            <w:r>
              <w:t>86</w:t>
            </w:r>
          </w:p>
        </w:tc>
      </w:tr>
      <w:tr>
        <w:tc>
          <w:tcPr>
            <w:tcW w:type="dxa" w:w="3120"/>
          </w:tcPr>
          <w:p>
            <w:r>
              <w:t>Number of interventions in the optimal package</w:t>
            </w:r>
          </w:p>
        </w:tc>
        <w:tc>
          <w:tcPr>
            <w:tcW w:type="dxa" w:w="3120"/>
          </w:tcPr>
          <w:p>
            <w:r>
              <w:t>86</w:t>
            </w:r>
          </w:p>
        </w:tc>
        <w:tc>
          <w:tcPr>
            <w:tcW w:type="dxa" w:w="3120"/>
          </w:tcPr>
          <w:p>
            <w:r>
              <w:t>76</w:t>
            </w:r>
          </w:p>
        </w:tc>
      </w:tr>
      <w:tr>
        <w:tc>
          <w:tcPr>
            <w:tcW w:type="dxa" w:w="3120"/>
          </w:tcPr>
          <w:p>
            <w:r>
              <w:t>Net DALYs averted</w:t>
            </w:r>
          </w:p>
        </w:tc>
        <w:tc>
          <w:tcPr>
            <w:tcW w:type="dxa" w:w="3120"/>
          </w:tcPr>
          <w:p>
            <w:r>
              <w:t>71,026,613</w:t>
            </w:r>
          </w:p>
        </w:tc>
        <w:tc>
          <w:tcPr>
            <w:tcW w:type="dxa" w:w="3120"/>
          </w:tcPr>
          <w:p>
            <w:r>
              <w:t>70,880,811</w:t>
            </w:r>
          </w:p>
        </w:tc>
      </w:tr>
      <w:tr>
        <w:tc>
          <w:tcPr>
            <w:tcW w:type="dxa" w:w="3120"/>
          </w:tcPr>
          <w:p>
            <w:r>
              <w:t>Total DALYs averted</w:t>
            </w:r>
          </w:p>
        </w:tc>
        <w:tc>
          <w:tcPr>
            <w:tcW w:type="dxa" w:w="3120"/>
          </w:tcPr>
          <w:p>
            <w:r>
              <w:t>71,430,098</w:t>
            </w:r>
          </w:p>
        </w:tc>
        <w:tc>
          <w:tcPr>
            <w:tcW w:type="dxa" w:w="3120"/>
          </w:tcPr>
          <w:p>
            <w:r>
              <w:t>71,128,233</w:t>
            </w:r>
          </w:p>
        </w:tc>
      </w:tr>
      <w:tr>
        <w:tc>
          <w:tcPr>
            <w:tcW w:type="dxa" w:w="3120"/>
          </w:tcPr>
          <w:p>
            <w:r>
              <w:t>Highest ICER in the optimal package ($)</w:t>
            </w:r>
          </w:p>
        </w:tc>
        <w:tc>
          <w:tcPr>
            <w:tcW w:type="dxa" w:w="3120"/>
          </w:tcPr>
          <w:p>
            <w:r>
              <w:t>337.16</w:t>
            </w:r>
          </w:p>
        </w:tc>
        <w:tc>
          <w:tcPr>
            <w:tcW w:type="dxa" w:w="3120"/>
          </w:tcPr>
          <w:p>
            <w:r>
              <w:t>198.93</w:t>
            </w:r>
          </w:p>
        </w:tc>
      </w:tr>
      <w:tr>
        <w:tc>
          <w:tcPr>
            <w:tcW w:type="dxa" w:w="3120"/>
          </w:tcPr>
          <w:p>
            <w:r>
              <w:t>Percentage of consumables budget required</w:t>
            </w:r>
          </w:p>
        </w:tc>
        <w:tc>
          <w:tcPr>
            <w:tcW w:type="dxa" w:w="3120"/>
          </w:tcPr>
          <w:p>
            <w:r>
              <w:t>—</w:t>
            </w:r>
          </w:p>
        </w:tc>
        <w:tc>
          <w:tcPr>
            <w:tcW w:type="dxa" w:w="3120"/>
          </w:tcPr>
          <w:p>
            <w:r>
              <w:t>100%</w:t>
            </w:r>
          </w:p>
        </w:tc>
      </w:tr>
    </w:tbl>
    <w:p>
      <w:pPr>
        <w:pStyle w:val="BodyText"/>
      </w:pPr>
      <w:r>
        <w:t>Source: main_optimization_senegal.R output (“Table 2 - Scenario comparison”), optimization_results.xlsx.</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Program</w:t>
            </w:r>
          </w:p>
        </w:tc>
        <w:tc>
          <w:tcPr>
            <w:tcW w:type="dxa" w:w="1560"/>
          </w:tcPr>
          <w:p>
            <w:r>
              <w:t>Interventions considered</w:t>
            </w:r>
          </w:p>
        </w:tc>
        <w:tc>
          <w:tcPr>
            <w:tcW w:type="dxa" w:w="1560"/>
          </w:tcPr>
          <w:p>
            <w:r>
              <w:t>No budget constraint: included</w:t>
            </w:r>
          </w:p>
        </w:tc>
        <w:tc>
          <w:tcPr>
            <w:tcW w:type="dxa" w:w="1560"/>
          </w:tcPr>
          <w:p>
            <w:r>
              <w:t>No budget constraint: %</w:t>
            </w:r>
          </w:p>
        </w:tc>
        <w:tc>
          <w:tcPr>
            <w:tcW w:type="dxa" w:w="1560"/>
          </w:tcPr>
          <w:p>
            <w:r>
              <w:t>Provisional budget: included</w:t>
            </w:r>
          </w:p>
        </w:tc>
        <w:tc>
          <w:tcPr>
            <w:tcW w:type="dxa" w:w="1560"/>
          </w:tcPr>
          <w:p>
            <w: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Pr>
          <w:p>
            <w:r>
              <w:t>Grand total</w:t>
            </w:r>
          </w:p>
        </w:tc>
        <w:tc>
          <w:tcPr>
            <w:tcW w:type="dxa" w:w="1560"/>
          </w:tcPr>
          <w:p>
            <w:r>
              <w:t>93</w:t>
            </w:r>
          </w:p>
        </w:tc>
        <w:tc>
          <w:tcPr>
            <w:tcW w:type="dxa" w:w="1560"/>
          </w:tcPr>
          <w:p>
            <w:r>
              <w:t>86</w:t>
            </w:r>
          </w:p>
        </w:tc>
        <w:tc>
          <w:tcPr>
            <w:tcW w:type="dxa" w:w="1560"/>
          </w:tcPr>
          <w:p>
            <w:r>
              <w:t>92%</w:t>
            </w:r>
          </w:p>
        </w:tc>
        <w:tc>
          <w:tcPr>
            <w:tcW w:type="dxa" w:w="1560"/>
          </w:tcPr>
          <w:p>
            <w:r>
              <w:t>76</w:t>
            </w:r>
          </w:p>
        </w:tc>
        <w:tc>
          <w:tcPr>
            <w:tcW w:type="dxa" w:w="1560"/>
          </w:tcPr>
          <w:p>
            <w:r>
              <w:t>82%</w:t>
            </w:r>
          </w:p>
        </w:tc>
      </w:tr>
    </w:tbl>
    <w:p>
      <w:pPr>
        <w:pStyle w:val="BodyText"/>
      </w:pPr>
      <w:r>
        <w:t>Source: main_optimization_senegal.R output (“Table 3 - Program inclusion”), optimization_results.xlsx.</w:t>
      </w:r>
    </w:p>
    <w:p>
      <w:pPr>
        <w:pStyle w:val="CaptionedFigure"/>
      </w:pPr>
      <w:r>
        <w:drawing>
          <wp:inline>
            <wp:extent cx="5330952" cy="3366917"/>
            <wp:docPr id="61" name="Picture 61"/>
            <wp:cNvGraphicFramePr>
              <a:graphicFrameLocks noChangeAspect="1"/>
            </wp:cNvGraphicFramePr>
            <a:graphic>
              <a:graphicData uri="http://schemas.openxmlformats.org/drawingml/2006/picture">
                <pic:pic>
                  <pic:nvPicPr>
                    <pic:cNvPr id="0" name="optimization_fig1_budget_use_by_program.png"/>
                    <pic:cNvPicPr/>
                  </pic:nvPicPr>
                  <pic:blipFill>
                    <a:blip r:embed="rId9"/>
                    <a:stretch>
                      <a:fillRect/>
                    </a:stretch>
                  </pic:blipFill>
                  <pic:spPr>
                    <a:xfrm>
                      <a:off x="0" y="0"/>
                      <a:ext cx="5330952" cy="3366917"/>
                    </a:xfrm>
                    <a:prstGeom prst="rect"/>
                  </pic:spPr>
                </pic:pic>
              </a:graphicData>
            </a:graphic>
          </wp:inline>
        </w:drawing>
      </w:r>
    </w:p>
    <w:p>
      <w:pPr>
        <w:pStyle w:val="ImageCaption"/>
      </w:pPr>
      <w:r>
        <w:t>Consumables-budget use by disease program, provisional budget scenario</w:t>
      </w:r>
    </w:p>
    <w:p>
      <w:pPr>
        <w:pStyle w:val="CaptionedFigure"/>
      </w:pPr>
      <w:r>
        <w:drawing>
          <wp:inline>
            <wp:extent cx="5330952" cy="2356842"/>
            <wp:docPr id="62" name="Picture 62"/>
            <wp:cNvGraphicFramePr>
              <a:graphicFrameLocks noChangeAspect="1"/>
            </wp:cNvGraphicFramePr>
            <a:graphic>
              <a:graphicData uri="http://schemas.openxmlformats.org/drawingml/2006/picture">
                <pic:pic>
                  <pic:nvPicPr>
                    <pic:cNvPr id="0" name="optimization_fig2_marginal_value.png"/>
                    <pic:cNvPicPr/>
                  </pic:nvPicPr>
                  <pic:blipFill>
                    <a:blip r:embed="rId10"/>
                    <a:stretch>
                      <a:fillRect/>
                    </a:stretch>
                  </pic:blipFill>
                  <pic:spPr>
                    <a:xfrm>
                      <a:off x="0" y="0"/>
                      <a:ext cx="5330952" cy="2356842"/>
                    </a:xfrm>
                    <a:prstGeom prst="rect"/>
                  </pic:spPr>
                </pic:pic>
              </a:graphicData>
            </a:graphic>
          </wp:inline>
        </w:drawing>
      </w:r>
    </w:p>
    <w:p>
      <w:pPr>
        <w:pStyle w:val="ImageCaption"/>
      </w:pPr>
      <w:r>
        <w:t>Marginal value of investing $1,000 in the consumables budget, provisional budget scenario</w:t>
      </w:r>
    </w:p>
    <w:p>
      <w:pPr>
        <w:pStyle w:val="BodyText"/>
      </w:pPr>
      <w:r>
        <w:t>This is a Stage-1 result only: it selects coverage under a single financial constraint, with no health-workforce time or capacity constraint by cadre, no task-shifting scenario, and no substitutable or complementary intervention pairs identified (see Section 6 for the full list of gaps and the data needed to close them). The $120 million budget figure is provisional and should be revised once a confirmed MSAS consumables-budget line item is available; every downstream number in this section moves automatically when it is (config.R).</w:t>
      </w:r>
    </w:p>
    <w:p>
      <w:pPr>
        <w:pStyle w:val="Heading2"/>
      </w:pPr>
      <w:r>
        <w:t>Equity: distributional cost-effectiveness analysis</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wealth quintile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residence</w:t>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6. Limitations</w:t>
      </w:r>
    </w:p>
    <w:p>
      <w:pPr>
        <w:pStyle w:val="FirstParagraph"/>
      </w:pPr>
      <w:r>
        <w:t>The four-filter selection in Section 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3.4, pending access to Senegal Continuous DHS 2023 microdata (Household, Individual, Births, Children’s, and Siblings recodes) requested for this purpose.</w:t>
      </w:r>
    </w:p>
    <w:p>
      <w:pPr>
        <w:pStyle w:val="BodyText"/>
      </w:pPr>
      <w:r>
        <w:t>This run now includes a first, budget-only version of package selection under a fixed consumables-budget envelope (Section 5.1), using a provisional USD working value rather than the CFA-franc government budget record specified in the EasyHealth WP3 analysis plan (Section 3 of the analysis plan template). Still not included: health-workforce capacity constraints by cadre, needed for the full constrained-optimization formulation (Section 7 of the analysis plan template; see Section 6 for the Stage-2 gap); probabilistic sensitivity analysis with joint parameter uncertainty (Section 5 of the analysis plan template); and pre-registration of the analysis plan with MSAS sign-off (Section 8 of the analysis plan template). These are proposed as the next iteration’s scope, once the CET base value, unit-cost source hierarchy, DCEA baseline parameters, and the provisional consumables budget confirmed in this note are agreed.</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Two established methods determine which interventions enter a health benefits package. Ranking interventions by ICER against a CET, and including those at or below the threshold, is the method described in Section 2.2, with results in Section 4. Constrained optimization instead selects a coverage level for each intervention to maximize net DALYs averted subject to joint financial and health-workforce constraints, and does not reduce to ICER ranking once a workforce cadre is scarce: an intervention with a favorable ICER can be excluded by a binding time constraint on the cadre that delivers it, and an intervention with a less favorable ICER can be included where it draws on an underused cadre. Section 5.1 reports a first, Stage-1 version of constrained optimization for Senegal, using a single consumables-budget constraint and no workforce constraint — the special case in which the two methods are mathematically equivalent, which the Stage-1 results confirm directly (86 interventions with no budget constraint, the same count found cost-effective by ICER ranking in Section 4). Extending it to the full, Stage-2 formulation used in the literature requires two inputs not yet collected for Senegal: health-worker time per patient by cadre, and workforce capacity by cadre.</w:t>
      </w:r>
      <w:r>
        <w:rPr>
          <w:rStyle w:val="FootnoteReference"/>
        </w:rPr>
      </w:r>
      <w:r/>
      <w:r>
        <w:rPr>
          <w:rStyle w:val="FootnoteReference"/>
        </w:rPr>
      </w:r>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 xml:space="preserve">league_table_final.xlsx</w:t>
      </w:r>
      <w:r>
        <w:t xml:space="preserve">, </w:t>
      </w:r>
      <w:r>
        <w:rPr>
          <w:rStyle w:val="VerbatimChar"/>
        </w:rPr>
        <w:t xml:space="preserve">funnel_tracking.xlsx</w:t>
      </w:r>
      <w:r>
        <w:t xml:space="preserve">, </w:t>
      </w:r>
      <w:r>
        <w:rPr>
          <w:rStyle w:val="VerbatimChar"/>
        </w:rPr>
        <w:t xml:space="preserve">detailed_findings.xlsx</w:t>
      </w:r>
      <w:r>
        <w:t xml:space="preserve">, and </w:t>
      </w:r>
      <w:r>
        <w:rPr>
          <w:rStyle w:val="VerbatimChar"/>
        </w:rPr>
        <w:t xml:space="preserve">dcea_results.xlsx</w:t>
      </w:r>
      <w:r>
        <w:t>. The Stage-1 constrained-optimization results (Tables 4-5 in Section 5.1, and the per-intervention detail behind them) are provided in optimization_results.xlsx, and the accompanying supplementary tables (intervention-level parameters, scenario outcomes, and the placeholder structure for Stage-2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