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At a cost-effectiveness threshold (CET) of $485 per DALY averted (the Senegal-specific reference value confirmed for this run), 85 of the 95 league table interventions have an incremental cost-effectiveness ratio (ICER) at or below the threshold. The remaining 10 (8 above threshold, 2 with an undefined ICER) stay visible in the league table, flagged rather than removed.</w:t>
      </w:r>
    </w:p>
    <w:p>
      <w:pPr>
        <w:pStyle w:val="BodyText"/>
        <w:jc w:val="both"/>
      </w:pPr>
      <w:r>
        <w:rPr>
          <w:rFonts w:ascii="Arial" w:hAnsi="Arial" w:cs="Arial" w:eastAsia="Arial"/>
        </w:rPr>
        <w:t>We run a first constrained optimization, using a provisional $120 million consumables budget as the only constraint, retaining 75 of the 85 cost-effective interventions while using 100% of that budget, with net DALYs averted essentially unchanged (71.7 million vs 71.9 million) relative to no budget constraint at all. A base scenario that also applies health-workforce time constraints retains 46 of 68 crosswalk-matched interventions, with pharmaceutical and mental-health staff time, not the budget, as the binding constraint; allowing pharmacist and nutrition-officer tasks to be shifted to nurses (a task-shifting scenario) raises this to 56 interventions by relieving the pharmaceutical-staff bottleneck entirely, at the cost of higher doctor and nursing time use (Section 3.2).</w:t>
      </w:r>
      <w:r>
        <w:rPr>
          <w:rFonts w:ascii="Arial" w:hAnsi="Arial" w:cs="Arial" w:eastAsia="Arial"/>
        </w:rPr>
      </w:r>
      <w:r>
        <w:rPr>
          <w:rStyle w:val="FootnoteReference"/>
          <w:rFonts w:ascii="Arial" w:hAnsi="Arial" w:cs="Arial" w:eastAsia="Arial"/>
        </w:rPr>
      </w:r>
      <w:r>
        <w:rPr>
          <w:rFonts w:ascii="Arial" w:hAnsi="Arial" w:cs="Arial" w:eastAsia="Arial"/>
        </w:rPr>
      </w:r>
    </w:p>
    <w:p>
      <w:pPr>
        <w:pStyle w:val="BodyText"/>
        <w:jc w:val="both"/>
      </w:pPr>
      <w:r>
        <w:rPr>
          <w:rFonts w:ascii="Arial" w:hAnsi="Arial" w:cs="Arial" w:eastAsia="Arial"/>
        </w:rPr>
        <w:t>Applying the same threshold to a distributional cost-effectiveness analysis (DCEA), the package raises net health benefit in every wealth quintile and in both urban and rural areas. Net benefit is lowest in the poorest quintile (10.1 million DALYs, full implementation) and highest in the fourth quintile (19.6 million DALYs). An Atkinson inequality index (aversion parameter ε=10) records a 9.8 million DALY-equivalent widening of wealth-quintile inequality against a 9.7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with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The largest driver is neonatal disorders, at 16.2% of DALYs, close to the combined weight of all top-ranked NCDs and more than four times lower respiratory infections (4.4%). The remaining CMNN burden (malaria, diarrheal diseases, iron deficiency, tuberculosis, and the measles-meningitis-HIV cluster)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together, these six causes account for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both are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 not yet drawn from an actual government budget record; we will replace it with a confirmed MSAS consumables-budget line item as soon as one is available, at which point every downstream number in Section 3.2 updates automatically.</w:t>
      </w:r>
      <w:r>
        <w:rPr>
          <w:rStyle w:val="FootnoteReference"/>
          <w:rFonts w:ascii="Arial" w:hAnsi="Arial" w:cs="Arial" w:eastAsia="Arial"/>
        </w:rPr>
      </w:r>
      <w:r>
        <w:rPr>
          <w:rFonts w:ascii="Arial" w:hAnsi="Arial" w:cs="Arial" w:eastAsia="Arial"/>
        </w:rPr>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Second, a retained intervention is kept if a unit cost is available: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FirstParagraph"/>
        <w:jc w:val="both"/>
      </w:pPr>
      <w:r>
        <w:t>This approach has three defining features. It maximizes net health benefit (not gross DALYs averted alone) subject to the health system’s actual capacity to deliver care, rather than ranking interventions by cost-effectiveness and funding them until a single budget line is exhausted. It uses linear programming to solve, for every candidate intervention, the coverage level (any share of the eligible population between 0% and 100%) that is jointly optimal given every constraint applied at once, rather than an all-or-nothing inclusion decision. And because coverage is solved jointly across constraints, the resulting package is inherently sensitive to the resources assumed available: more consumables budget, more health-worker capacity, or a different cost-effectiveness threshold each changes which interventions are included and at what coverage.</w:t>
      </w:r>
    </w:p>
    <w:p>
      <w:pPr>
        <w:pStyle w:val="FirstParagraph"/>
        <w:jc w:val="both"/>
      </w:pPr>
      <w:r>
        <w:t>The health-system constraints applied here fall into two categories: a financial one (the consumables/commodities budget) and a physical one (the size of the health workforce, by cadre). Both matter independently of each other: a package that fits within budget can still be undeliverable if it requires more clinical staff-time than the workforce can supply, and Section 3.2 shows this is materially the case here.</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85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At the $485 base case, 85 of 95 interventions have an ICER at or below the threshold, implying a full-implementation budget of $194.3 million. Eight interventions have an ICER above threshold and two have an undefined ICER (zero DALYs averted under full implementation); all ten remain visible in the league table with a negative or undefined net health benefit rather than being removed.</w:t>
      </w:r>
    </w:p>
    <w:p>
      <w:pPr>
        <w:pStyle w:val="BodyText"/>
        <w:jc w:val="both"/>
      </w:pPr>
      <w:r>
        <w:rPr>
          <w:rFonts w:ascii="Arial" w:hAnsi="Arial" w:cs="Arial" w:eastAsia="Arial"/>
        </w:rPr>
        <w:t>The five interventions ranked highest by full-implementation net health benefit are malaria treatment for children aged 0-4 (ICER $0.56 per DALY averted, 53.3 million DALYs net benefit), uterotonics for postpartum hemorrhage (ICER $0.05, 4.0 million), intensive psychosocial treatment with anti-depressant medication for anxiety disorders (ICER $0.52, 1.9 million), the pneumococcal vaccine (ICER $2.55, 1.8 million), and basic psychosocial treatment with anti-depressant medication for anxiety disorders (ICER $0.57, 1.7 million).</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Raising the CET from $242.50 to $970 widens the affordable package from 75 to 89 of the 95 interventions and the corresponding full-implementation budget from $128.4 million to $197.6 million; total DALYs averted under full implementation rises from 72.0 million to 72.3 million across that range, a 0.4% change against a budget change of 53.9%.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85 have a positive net health benefit and would be included with no budget constraint at all (Table 4), at a highest ICER of $337.16 and 72.3 million total DALYs averted, the same count found cost-effective by ICER ranking in Section 3.1. Applying the $120 million provisional budget restricts the optimal package to 75 interventions, exhausting 100% of the budget, at a highest included ICER of $198.93; net DALYs averted are essentially unchanged relative to the unconstrained case (71.7 vs 71.9 million net DALYs, 72.0 vs 72.3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85</w:t>
            </w:r>
          </w:p>
        </w:tc>
        <w:tc>
          <w:tcPr>
            <w:tcW w:type="dxa" w:w="3120"/>
          </w:tcPr>
          <w:p>
            <w:r>
              <w:rPr>
                <w:rFonts w:ascii="Arial" w:hAnsi="Arial" w:cs="Arial" w:eastAsia="Arial"/>
              </w:rPr>
              <w:t>85</w:t>
            </w:r>
          </w:p>
        </w:tc>
        <w:tc>
          <w:tcPr>
            <w:tcW w:type="dxa" w:w="2268"/>
          </w:tcPr>
          <w:p>
            <w:r>
              <w:rPr>
                <w:rFonts w:ascii="Arial" w:hAnsi="Arial" w:cs="Arial" w:eastAsia="Arial"/>
              </w:rPr>
              <w:t>60</w:t>
            </w:r>
          </w:p>
        </w:tc>
        <w:tc>
          <w:tcPr>
            <w:tcW w:type="dxa" w:w="2268"/>
          </w:tcPr>
          <w:p>
            <w:r>
              <w:rPr>
                <w:rFonts w:ascii="Arial" w:hAnsi="Arial" w:cs="Arial" w:eastAsia="Arial"/>
              </w:rPr>
              <w:t>60</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85</w:t>
            </w:r>
          </w:p>
        </w:tc>
        <w:tc>
          <w:tcPr>
            <w:tcW w:type="dxa" w:w="3120"/>
          </w:tcPr>
          <w:p>
            <w:r>
              <w:rPr>
                <w:rFonts w:ascii="Arial" w:hAnsi="Arial" w:cs="Arial" w:eastAsia="Arial"/>
              </w:rPr>
              <w:t>75</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71,853,130</w:t>
            </w:r>
          </w:p>
        </w:tc>
        <w:tc>
          <w:tcPr>
            <w:tcW w:type="dxa" w:w="3120"/>
          </w:tcPr>
          <w:p>
            <w:r>
              <w:rPr>
                <w:rFonts w:ascii="Arial" w:hAnsi="Arial" w:cs="Arial" w:eastAsia="Arial"/>
              </w:rPr>
              <w:t>71,711,363</w:t>
            </w:r>
          </w:p>
        </w:tc>
        <w:tc>
          <w:tcPr>
            <w:tcW w:type="dxa" w:w="2268"/>
          </w:tcPr>
          <w:p>
            <w:r>
              <w:rPr>
                <w:rFonts w:ascii="Arial" w:hAnsi="Arial" w:cs="Arial" w:eastAsia="Arial"/>
              </w:rPr>
              <w:t>70,616,533</w:t>
            </w:r>
          </w:p>
        </w:tc>
        <w:tc>
          <w:tcPr>
            <w:tcW w:type="dxa" w:w="2268"/>
          </w:tcPr>
          <w:p>
            <w:r>
              <w:rPr>
                <w:rFonts w:ascii="Arial" w:hAnsi="Arial" w:cs="Arial" w:eastAsia="Arial"/>
              </w:rPr>
              <w:t>71,067,745</w:t>
            </w:r>
          </w:p>
        </w:tc>
      </w:tr>
      <w:tr>
        <w:tc>
          <w:tcPr>
            <w:tcW w:type="dxa" w:w="3120"/>
          </w:tcPr>
          <w:p>
            <w:r>
              <w:rPr>
                <w:rFonts w:ascii="Arial" w:hAnsi="Arial" w:cs="Arial" w:eastAsia="Arial"/>
              </w:rPr>
              <w:t>Total DALYs averted</w:t>
            </w:r>
          </w:p>
        </w:tc>
        <w:tc>
          <w:tcPr>
            <w:tcW w:type="dxa" w:w="3120"/>
          </w:tcPr>
          <w:p>
            <w:r>
              <w:rPr>
                <w:rFonts w:ascii="Arial" w:hAnsi="Arial" w:cs="Arial" w:eastAsia="Arial"/>
              </w:rPr>
              <w:t>72,253,808</w:t>
            </w:r>
          </w:p>
        </w:tc>
        <w:tc>
          <w:tcPr>
            <w:tcW w:type="dxa" w:w="3120"/>
          </w:tcPr>
          <w:p>
            <w:r>
              <w:rPr>
                <w:rFonts w:ascii="Arial" w:hAnsi="Arial" w:cs="Arial" w:eastAsia="Arial"/>
              </w:rPr>
              <w:t>71,958,786</w:t>
            </w:r>
          </w:p>
        </w:tc>
        <w:tc>
          <w:tcPr>
            <w:tcW w:type="dxa" w:w="2268"/>
          </w:tcPr>
          <w:p>
            <w:r>
              <w:rPr>
                <w:rFonts w:ascii="Arial" w:hAnsi="Arial" w:cs="Arial" w:eastAsia="Arial"/>
              </w:rPr>
              <w:t>70,863,955</w:t>
            </w:r>
          </w:p>
        </w:tc>
        <w:tc>
          <w:tcPr>
            <w:tcW w:type="dxa" w:w="2268"/>
          </w:tcPr>
          <w:p>
            <w:r>
              <w:rPr>
                <w:rFonts w:ascii="Arial" w:hAnsi="Arial" w:cs="Arial" w:eastAsia="Arial"/>
              </w:rPr>
              <w:t>71,315,168</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not money, become the binding constraint, at 100% of the assumed capacity; doctor/clinical-officer and nursing time remain under half used (49.3% and 21.7%). Allowing pharmaceutical-staff and nutrition-officer tasks to be shifted to nursing staff (the task-shifting scenario)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8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8,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t>Figure 7: Health-system resource use, without vs. with constraints applied: (a) every cost-effective intervention at full coverage, no capacity limit; (b) the base scenario's own solution</w:t>
      </w:r>
    </w:p>
    <w:p>
      <w:pPr>
        <w:pStyle w:val="CaptionedFigure"/>
      </w:pPr>
      <w:r>
        <w:drawing>
          <wp:inline>
            <wp:extent cx="5029200" cy="5867400"/>
            <wp:docPr id="80" name="Picture 80"/>
            <wp:cNvGraphicFramePr>
              <a:graphicFrameLocks noChangeAspect="1"/>
            </wp:cNvGraphicFramePr>
            <a:graphic>
              <a:graphicData uri="http://schemas.openxmlformats.org/drawingml/2006/picture">
                <pic:pic>
                  <pic:nvPicPr>
                    <pic:cNvPr id="0" name="optimization_fig0_resource_gap.png"/>
                    <pic:cNvPicPr/>
                  </pic:nvPicPr>
                  <pic:blipFill>
                    <a:blip r:embed="rId31"/>
                    <a:stretch>
                      <a:fillRect/>
                    </a:stretch>
                  </pic:blipFill>
                  <pic:spPr>
                    <a:xfrm>
                      <a:off x="0" y="0"/>
                      <a:ext cx="5029200" cy="5867400"/>
                    </a:xfrm>
                    <a:prstGeom prst="rect"/>
                  </pic:spPr>
                </pic:pic>
              </a:graphicData>
            </a:graphic>
          </wp:inline>
        </w:drawing>
      </w:r>
    </w:p>
    <w:p>
      <w:pPr>
        <w:pStyle w:val="SourceNote"/>
      </w:pPr>
      <w:r>
        <w:t>Note: percentage of each resource required. Panel (a) sums, for every intervention with an ICER at or below the CET, the resource it would need at full (100%) coverage with no capacity limit applied - a resource can and does exceed 100% here. Panel (b) is the base scenario's own solution (Table 4), which always respects capacity by construction. The dashed line marks 100% of available capacity. As elsewhere in this section, only the four health-worker cadres with a recorded need among the matched interventions are shown.</w:t>
      </w:r>
    </w:p>
    <w:p>
      <w:pPr>
        <w:pStyle w:val="BodyText"/>
      </w:pPr>
      <w:r>
        <w:t>Panel (a) of Figure 7 makes a point the constrained-optimization result alone does not: before any budget or workforce decision is applied, simply funding every cost-effective intervention at full coverage would already require 213.9% of pharmaceutical-staff capacity, 161.9% of the consumables budget, and 101.4% of mental-health-staff capacity - three of the five resources considered are oversubscribed by cost-effectiveness alone. Doctor/clinical-officer (84.4%) and nursing (32.9%) capacity remain sufficient even without any constraint. This is the clearest evidence in this analysis that a cost-effectiveness-only or budget-only prioritization exercise would understate Senegal's real implementation gap: the pharmaceutical- and mental-health-staff bottlenecks identified in the base scenario are not created by the optimization - they are already present in the underlying case-volume and burden data, and the optimization only makes their consequences for the resulting package explicit.</w:t>
      </w:r>
    </w:p>
    <w:p>
      <w:pPr>
        <w:pStyle w:val="ImageCaption"/>
      </w:pPr>
      <w:r>
        <w:rPr>
          <w:rFonts w:ascii="Arial" w:hAnsi="Arial" w:cs="Arial" w:eastAsia="Arial"/>
        </w:rPr>
        <w:t>Figure 8: Health-system resource use by program: (a) base scenario, (b) task-shifting scenario</w:t>
      </w:r>
    </w:p>
    <w:p>
      <w:pPr>
        <w:pStyle w:val="CaptionedFigure"/>
      </w:pPr>
      <w:r>
        <w:drawing>
          <wp:inline>
            <wp:extent cx="5120640" cy="5974080"/>
            <wp:docPr id="79" name="Picture 7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3"/>
      </w:pPr>
      <w:r>
        <w:t>Critical assessment: what this adds for Senegal’s HBP design</w:t>
      </w:r>
    </w:p>
    <w:p>
      <w:pPr>
        <w:pStyle w:val="BodyText"/>
        <w:jc w:val="both"/>
      </w:pPr>
      <w:r>
        <w:t>Two findings from this section do not depend on the borrowed workforce data being Senegal-specific, and are robust as far as the underlying case-volume and disease-burden figures are trustworthy. First, that a workforce constraint can bind independently of the consumables budget is a structural property of the method, not an artefact of the particular capacity figures used: any cadre with a small, finite capacity will eventually bind once enough cost-effective interventions draw on it, regardless of exactly how large that capacity is assumed to be. Second, which cadres are the likely bottlenecks (pharmaceutical and mental-health staff, not doctors or nurses) follows mainly from how few of the 68 matched interventions draw on those two cadres relative to the size of the caseload each one carries, a pattern set by Senegal’s own case volumes rather than by the borrowed capacity denominators.</w:t>
      </w:r>
    </w:p>
    <w:p>
      <w:pPr>
        <w:pStyle w:val="BodyText"/>
        <w:jc w:val="both"/>
      </w:pPr>
      <w:r>
        <w:t>What this section cannot yet answer for Senegal is whether the workforce is this constrained in practice. The capacity and headcount figures behind Figure 8 are drawn entirely from the published reference literature used elsewhere in this note (Section 2.1.4), not measured in Senegal, and the name crosswalk reaches only 68 of the 93 optimizable interventions, so any bottleneck specific to the remaining 25 is invisible to this analysis. The qualitative story (workforce capacity matters and can bind before the budget does) is a property of the method; the specific magnitudes (100%, 214%) are illustrative of what the method can produce once Senegal-specific data exist, not yet a measurement of Senegal’s actual bottleneck.</w:t>
      </w:r>
    </w:p>
    <w:p>
      <w:pPr>
        <w:pStyle w:val="BodyText"/>
        <w:jc w:val="both"/>
      </w:pPr>
      <w:r>
        <w:t>On balance, the method earns its place in this note as a working, validated diagnostic tool rather than as a source of decision-ready numbers today: it identifies precisely which additional data (health-worker time-per-case, workforce headcount and capacity, and an indicative salary scale, by cadre) would convert this from an illustrative run into an actionable one, and the pipeline is ready to reproduce every table and figure in this section automatically the moment that data is available.</w:t>
      </w:r>
    </w:p>
    <w:p>
      <w:pPr>
        <w:pStyle w:val="Heading2"/>
      </w:pPr>
      <w:r>
        <w:rPr>
          <w:rFonts w:ascii="Arial" w:hAnsi="Arial" w:cs="Arial" w:eastAsia="Arial"/>
        </w:rPr>
        <w:t>3.3 Distributional cost-effectiveness analysis (DCEA)</w:t>
      </w:r>
    </w:p>
    <w:p>
      <w:pPr>
        <w:pStyle w:val="BodyText"/>
        <w:jc w:val="both"/>
      </w:pPr>
      <w:r>
        <w:rPr>
          <w:rFonts w:ascii="Arial" w:hAnsi="Arial"/>
        </w:rPr>
        <w:t>Table 6 summarises the package's net benefit and equity impact under both stratifiers; Figures 9-13 show the full detail.</w:t>
      </w:r>
    </w:p>
    <w:p>
      <w:pPr>
        <w:pStyle w:val="BodyText"/>
        <w:jc w:val="both"/>
      </w:pPr>
      <w:r>
        <w:t>Table 6: DCEA summary results</w:t>
      </w:r>
    </w:p>
    <w:tbl>
      <w:tblPr>
        <w:tblW w:type="auto" w:w="0"/>
        <w:tblLook w:firstColumn="1" w:firstRow="1" w:lastColumn="0" w:lastRow="0" w:noHBand="0" w:noVBand="1" w:val="04A0"/>
      </w:tblPr>
      <w:tblGrid>
        <w:gridCol w:w="4680"/>
        <w:gridCol w:w="4680"/>
      </w:tblGrid>
      <w:tr>
        <w:tc>
          <w:tcPr>
            <w:tcW w:type="dxa" w:w="4680"/>
            <w:shd w:val="clear" w:color="auto" w:fill="000066"/>
            <w:tcBorders>
              <w:top w:val="single" w:sz="8" w:space="0" w:color="000000"/>
              <w:bottom w:val="single" w:sz="8" w:space="0" w:color="000000"/>
            </w:tcBorders>
          </w:tcPr>
          <w:p>
            <w:pPr>
              <w:pStyle w:val="Compact"/>
              <w:jc w:val="left"/>
            </w:pPr>
            <w:r/>
            <w:r>
              <w:rPr>
                <w:rFonts w:ascii="Arial" w:hAnsi="Arial"/>
                <w:b/>
                <w:color w:val="FFFFFF"/>
              </w:rPr>
              <w:t>Metric</w:t>
            </w:r>
          </w:p>
        </w:tc>
        <w:tc>
          <w:tcPr>
            <w:tcW w:type="dxa" w:w="4680"/>
            <w:shd w:val="clear" w:color="auto" w:fill="000066"/>
            <w:tcBorders>
              <w:top w:val="single" w:sz="8" w:space="0" w:color="000000"/>
              <w:bottom w:val="single" w:sz="8" w:space="0" w:color="000000"/>
            </w:tcBorders>
          </w:tcPr>
          <w:p>
            <w:pPr>
              <w:pStyle w:val="Compact"/>
              <w:jc w:val="left"/>
            </w:pPr>
            <w:r/>
            <w:r>
              <w:rPr>
                <w:rFonts w:ascii="Arial" w:hAnsi="Arial"/>
                <w:b/>
                <w:color w:val="FFFFFF"/>
              </w:rPr>
              <w:t>Value</w:t>
            </w:r>
          </w:p>
        </w:tc>
      </w:tr>
      <w:tr>
        <w:tc>
          <w:tcPr>
            <w:tcW w:type="dxa" w:w="4680"/>
          </w:tcPr>
          <w:p>
            <w:pPr>
              <w:pStyle w:val="Compact"/>
              <w:jc w:val="left"/>
            </w:pPr>
            <w:r/>
            <w:r>
              <w:rPr>
                <w:rFonts w:ascii="Arial" w:hAnsi="Arial"/>
                <w:b w:val="0"/>
              </w:rPr>
              <w:t>Total net health benefit (full implementation)</w:t>
            </w:r>
          </w:p>
        </w:tc>
        <w:tc>
          <w:tcPr>
            <w:tcW w:type="dxa" w:w="4680"/>
          </w:tcPr>
          <w:p>
            <w:pPr>
              <w:pStyle w:val="Compact"/>
              <w:jc w:val="left"/>
            </w:pPr>
            <w:r/>
            <w:r>
              <w:rPr>
                <w:rFonts w:ascii="Arial" w:hAnsi="Arial"/>
                <w:b w:val="0"/>
              </w:rPr>
              <w:t>71.9 million DALYs</w:t>
            </w:r>
          </w:p>
        </w:tc>
      </w:tr>
      <w:tr>
        <w:tc>
          <w:tcPr>
            <w:tcW w:type="dxa" w:w="4680"/>
          </w:tcPr>
          <w:p>
            <w:pPr>
              <w:pStyle w:val="Compact"/>
              <w:jc w:val="left"/>
            </w:pPr>
            <w:r/>
            <w:r>
              <w:rPr>
                <w:rFonts w:ascii="Arial" w:hAnsi="Arial"/>
                <w:b w:val="0"/>
              </w:rPr>
              <w:t>Net benefit by wealth quintile (poorest -&gt; richest)</w:t>
            </w:r>
          </w:p>
        </w:tc>
        <w:tc>
          <w:tcPr>
            <w:tcW w:type="dxa" w:w="4680"/>
          </w:tcPr>
          <w:p>
            <w:pPr>
              <w:pStyle w:val="Compact"/>
              <w:jc w:val="left"/>
            </w:pPr>
            <w:r/>
            <w:r>
              <w:rPr>
                <w:rFonts w:ascii="Arial" w:hAnsi="Arial"/>
                <w:b w:val="0"/>
              </w:rPr>
              <w:t>10.1 / 11.2 / 16.6 / 19.6 / 14.3 million DALYs</w:t>
            </w:r>
          </w:p>
        </w:tc>
      </w:tr>
      <w:tr>
        <w:tc>
          <w:tcPr>
            <w:tcW w:type="dxa" w:w="4680"/>
          </w:tcPr>
          <w:p>
            <w:pPr>
              <w:pStyle w:val="Compact"/>
              <w:jc w:val="left"/>
            </w:pPr>
            <w:r/>
            <w:r>
              <w:rPr>
                <w:rFonts w:ascii="Arial" w:hAnsi="Arial"/>
                <w:b w:val="0"/>
              </w:rPr>
              <w:t>Net benefit by residence (urban / rural)</w:t>
            </w:r>
          </w:p>
        </w:tc>
        <w:tc>
          <w:tcPr>
            <w:tcW w:type="dxa" w:w="4680"/>
          </w:tcPr>
          <w:p>
            <w:pPr>
              <w:pStyle w:val="Compact"/>
              <w:jc w:val="left"/>
            </w:pPr>
            <w:r/>
            <w:r>
              <w:rPr>
                <w:rFonts w:ascii="Arial" w:hAnsi="Arial"/>
                <w:b w:val="0"/>
              </w:rPr>
              <w:t>37.3 / 34.5 million DALYs</w:t>
            </w:r>
          </w:p>
        </w:tc>
      </w:tr>
      <w:tr>
        <w:tc>
          <w:tcPr>
            <w:tcW w:type="dxa" w:w="4680"/>
          </w:tcPr>
          <w:p>
            <w:pPr>
              <w:pStyle w:val="Compact"/>
              <w:jc w:val="left"/>
            </w:pPr>
            <w:r/>
            <w:r>
              <w:rPr>
                <w:rFonts w:ascii="Arial" w:hAnsi="Arial"/>
                <w:b w:val="0"/>
              </w:rPr>
              <w:t>Inequality impact, wealth quintile (epsilon=10, reference)</w:t>
            </w:r>
          </w:p>
        </w:tc>
        <w:tc>
          <w:tcPr>
            <w:tcW w:type="dxa" w:w="4680"/>
          </w:tcPr>
          <w:p>
            <w:pPr>
              <w:pStyle w:val="Compact"/>
              <w:jc w:val="left"/>
            </w:pPr>
            <w:r/>
            <w:r>
              <w:rPr>
                <w:rFonts w:ascii="Arial" w:hAnsi="Arial"/>
                <w:b w:val="0"/>
              </w:rPr>
              <w:t>-9.8 million DALY-equivalent (widens inequality)</w:t>
            </w:r>
          </w:p>
        </w:tc>
      </w:tr>
      <w:tr>
        <w:tc>
          <w:tcPr>
            <w:tcW w:type="dxa" w:w="4680"/>
          </w:tcPr>
          <w:p>
            <w:pPr>
              <w:pStyle w:val="Compact"/>
              <w:jc w:val="left"/>
            </w:pPr>
            <w:r/>
            <w:r>
              <w:rPr>
                <w:rFonts w:ascii="Arial" w:hAnsi="Arial"/>
                <w:b w:val="0"/>
              </w:rPr>
              <w:t>Inequality impact, wealth quintile, sensitivity range (epsilon=2 to epsilon=25)</w:t>
            </w:r>
          </w:p>
        </w:tc>
        <w:tc>
          <w:tcPr>
            <w:tcW w:type="dxa" w:w="4680"/>
          </w:tcPr>
          <w:p>
            <w:pPr>
              <w:pStyle w:val="Compact"/>
              <w:jc w:val="left"/>
            </w:pPr>
            <w:r/>
            <w:r>
              <w:rPr>
                <w:rFonts w:ascii="Arial" w:hAnsi="Arial"/>
                <w:b w:val="0"/>
              </w:rPr>
              <w:t>-2.5 to -16.2 million (widens at every value tested)</w:t>
            </w:r>
          </w:p>
        </w:tc>
      </w:tr>
      <w:tr>
        <w:tc>
          <w:tcPr>
            <w:tcW w:type="dxa" w:w="4680"/>
          </w:tcPr>
          <w:p>
            <w:pPr>
              <w:pStyle w:val="Compact"/>
              <w:jc w:val="left"/>
            </w:pPr>
            <w:r/>
            <w:r>
              <w:rPr>
                <w:rFonts w:ascii="Arial" w:hAnsi="Arial"/>
                <w:b w:val="0"/>
              </w:rPr>
              <w:t>Inequality impact, residence (epsilon=10)</w:t>
            </w:r>
          </w:p>
        </w:tc>
        <w:tc>
          <w:tcPr>
            <w:tcW w:type="dxa" w:w="4680"/>
          </w:tcPr>
          <w:p>
            <w:pPr>
              <w:pStyle w:val="Compact"/>
              <w:jc w:val="left"/>
            </w:pPr>
            <w:r/>
            <w:r>
              <w:rPr>
                <w:rFonts w:ascii="Arial" w:hAnsi="Arial"/>
                <w:b w:val="0"/>
              </w:rPr>
              <w:t>+9.7 million DALY-equivalent (narrows inequality)</w:t>
            </w:r>
          </w:p>
        </w:tc>
      </w:tr>
      <w:tr>
        <w:tc>
          <w:tcPr>
            <w:tcW w:type="dxa" w:w="4680"/>
          </w:tcPr>
          <w:p>
            <w:pPr>
              <w:pStyle w:val="Compact"/>
              <w:jc w:val="left"/>
            </w:pPr>
            <w:r/>
            <w:r>
              <w:rPr>
                <w:rFonts w:ascii="Arial" w:hAnsi="Arial"/>
                <w:b w:val="0"/>
              </w:rPr>
              <w:t>Dominant intervention</w:t>
            </w:r>
          </w:p>
        </w:tc>
        <w:tc>
          <w:tcPr>
            <w:tcW w:type="dxa" w:w="4680"/>
          </w:tcPr>
          <w:p>
            <w:pPr>
              <w:pStyle w:val="Compact"/>
              <w:jc w:val="left"/>
            </w:pPr>
            <w:r/>
            <w:r>
              <w:rPr>
                <w:rFonts w:ascii="Arial" w:hAnsi="Arial"/>
                <w:b w:val="0"/>
              </w:rPr>
              <w:t>Malaria treatment (children 0-4): 74% of total net benefit, 89% of the wealth-quintile inequality impact</w:t>
            </w:r>
          </w:p>
        </w:tc>
      </w:tr>
    </w:tbl>
    <w:p>
      <w:pPr>
        <w:pStyle w:val="BodyText"/>
        <w:jc w:val="both"/>
      </w:pPr>
      <w:r>
        <w:t>Net benefit rises from the poorest to the fourth wealth quintile before falling among the richest, and is similar between urban and rural areas. At the reference inequality-aversion level the package widens wealth-quintile inequality and narrows the urban/rural gap, a direction that holds across the full epsilon=2 to epsilon=25 sensitivity range.</w:t>
      </w:r>
    </w:p>
    <w:p>
      <w:pPr>
        <w:pStyle w:val="ImageCaption"/>
      </w:pPr>
      <w:r>
        <w:rPr>
          <w:rFonts w:ascii="Arial" w:hAnsi="Arial" w:cs="Arial" w:eastAsia="Arial"/>
        </w:rPr>
        <w:t>Figure 9: Health equity impact plane, wealth quintile</w:t>
      </w:r>
    </w:p>
    <w:p>
      <w:pPr>
        <w:pStyle w:val="CaptionedFigure"/>
      </w:pPr>
      <w:r>
        <w:drawing>
          <wp:inline>
            <wp:extent cx="5330952" cy="4146296"/>
            <wp:docPr id="81" name="Picture 81"/>
            <wp:cNvGraphicFramePr>
              <a:graphicFrameLocks noChangeAspect="1"/>
            </wp:cNvGraphicFramePr>
            <a:graphic>
              <a:graphicData uri="http://schemas.openxmlformats.org/drawingml/2006/picture">
                <pic:pic>
                  <pic:nvPicPr>
                    <pic:cNvPr id="0" name="dcea_equity_plane_wealth.png"/>
                    <pic:cNvPicPr/>
                  </pic:nvPicPr>
                  <pic:blipFill>
                    <a:blip r:embed="rId32"/>
                    <a:stretch>
                      <a:fillRect/>
                    </a:stretch>
                  </pic:blipFill>
                  <pic:spPr>
                    <a:xfrm>
                      <a:off x="0" y="0"/>
                      <a:ext cx="5330952" cy="4146296"/>
                    </a:xfrm>
                    <a:prstGeom prst="rect"/>
                  </pic:spPr>
                </pic:pic>
              </a:graphicData>
            </a:graphic>
          </wp:inline>
        </w:drawing>
      </w:r>
    </w:p>
    <w:p>
      <w:pPr>
        <w:pStyle w:val="BodyText"/>
        <w:jc w:val="both"/>
      </w:pPr>
      <w:r>
        <w:t>Malaria treatment for children under 5 sits alone in the upper-left quadrant: by far the largest health gain, but also the main driver of the wealth-quintile inequality widening (74% of total net benefit, 89% of the inequality impact).</w:t>
      </w:r>
    </w:p>
    <w:p>
      <w:pPr>
        <w:pStyle w:val="ImageCaption"/>
      </w:pPr>
      <w:r>
        <w:rPr>
          <w:rFonts w:ascii="Arial" w:hAnsi="Arial" w:cs="Arial" w:eastAsia="Arial"/>
        </w:rPr>
        <w:t>Figure 10: Health equity impact plane, residence</w:t>
      </w:r>
    </w:p>
    <w:p>
      <w:pPr>
        <w:pStyle w:val="CaptionedFigure"/>
      </w:pPr>
      <w:r>
        <w:drawing>
          <wp:inline>
            <wp:extent cx="5330952" cy="4146296"/>
            <wp:docPr id="82" name="Picture 82"/>
            <wp:cNvGraphicFramePr>
              <a:graphicFrameLocks noChangeAspect="1"/>
            </wp:cNvGraphicFramePr>
            <a:graphic>
              <a:graphicData uri="http://schemas.openxmlformats.org/drawingml/2006/picture">
                <pic:pic>
                  <pic:nvPicPr>
                    <pic:cNvPr id="0" name="dcea_equity_plane_residence.png"/>
                    <pic:cNvPicPr/>
                  </pic:nvPicPr>
                  <pic:blipFill>
                    <a:blip r:embed="rId33"/>
                    <a:stretch>
                      <a:fillRect/>
                    </a:stretch>
                  </pic:blipFill>
                  <pic:spPr>
                    <a:xfrm>
                      <a:off x="0" y="0"/>
                      <a:ext cx="5330952" cy="4146296"/>
                    </a:xfrm>
                    <a:prstGeom prst="rect"/>
                  </pic:spPr>
                </pic:pic>
              </a:graphicData>
            </a:graphic>
          </wp:inline>
        </w:drawing>
      </w:r>
    </w:p>
    <w:p>
      <w:pPr>
        <w:pStyle w:val="BodyText"/>
        <w:jc w:val="both"/>
      </w:pPr>
      <w:r>
        <w:t>On this dimension the same intervention narrows rather than widens inequality, since urban and rural areas receive a similar share of it; this is why the residence-level result points the opposite way from the wealth-quintile one.</w:t>
      </w:r>
    </w:p>
    <w:p>
      <w:pPr>
        <w:pStyle w:val="ImageCaption"/>
      </w:pPr>
      <w:r>
        <w:t>Figure 11: Direct benefit, opportunity cost and net benefit by wealth quintile, full vs. realistic implementation</w:t>
      </w:r>
    </w:p>
    <w:p>
      <w:pPr>
        <w:jc w:val="center"/>
      </w:pPr>
      <w:r>
        <w:drawing>
          <wp:inline>
            <wp:extent cx="5760720" cy="3456432"/>
            <wp:docPr id="83" name="Picture 83"/>
            <wp:cNvGraphicFramePr>
              <a:graphicFrameLocks noChangeAspect="1"/>
            </wp:cNvGraphicFramePr>
            <a:graphic>
              <a:graphicData uri="http://schemas.openxmlformats.org/drawingml/2006/picture">
                <pic:pic>
                  <pic:nvPicPr>
                    <pic:cNvPr id="0" name="dcea_benefit_breakdown_wealth.png"/>
                    <pic:cNvPicPr/>
                  </pic:nvPicPr>
                  <pic:blipFill>
                    <a:blip r:embed="rId34"/>
                    <a:stretch>
                      <a:fillRect/>
                    </a:stretch>
                  </pic:blipFill>
                  <pic:spPr>
                    <a:xfrm>
                      <a:off x="0" y="0"/>
                      <a:ext cx="5760720" cy="3456432"/>
                    </a:xfrm>
                    <a:prstGeom prst="rect"/>
                  </pic:spPr>
                </pic:pic>
              </a:graphicData>
            </a:graphic>
          </wp:inline>
        </w:drawing>
      </w:r>
    </w:p>
    <w:p>
      <w:pPr>
        <w:pStyle w:val="BodyText"/>
        <w:jc w:val="both"/>
      </w:pPr>
      <w:r>
        <w:t>Full implementation would raise net benefit roughly tenfold over the current, realistic scale-up, in every quintile alike. Opportunity cost is a small fraction of direct benefit at every income level, reflecting the low cost-per-DALY of the interventions driving this result.</w:t>
      </w:r>
    </w:p>
    <w:p>
      <w:pPr>
        <w:pStyle w:val="ImageCaption"/>
      </w:pPr>
      <w:r>
        <w:t>Figure 12: Direct benefit, opportunity cost and net benefit by residence, full vs. realistic implementation</w:t>
      </w:r>
    </w:p>
    <w:p>
      <w:pPr>
        <w:jc w:val="center"/>
      </w:pPr>
      <w:r>
        <w:drawing>
          <wp:inline>
            <wp:extent cx="5394960" cy="3596640"/>
            <wp:docPr id="84" name="Picture 84"/>
            <wp:cNvGraphicFramePr>
              <a:graphicFrameLocks noChangeAspect="1"/>
            </wp:cNvGraphicFramePr>
            <a:graphic>
              <a:graphicData uri="http://schemas.openxmlformats.org/drawingml/2006/picture">
                <pic:pic>
                  <pic:nvPicPr>
                    <pic:cNvPr id="0" name="dcea_benefit_breakdown_residence.png"/>
                    <pic:cNvPicPr/>
                  </pic:nvPicPr>
                  <pic:blipFill>
                    <a:blip r:embed="rId35"/>
                    <a:stretch>
                      <a:fillRect/>
                    </a:stretch>
                  </pic:blipFill>
                  <pic:spPr>
                    <a:xfrm>
                      <a:off x="0" y="0"/>
                      <a:ext cx="5394960" cy="3596640"/>
                    </a:xfrm>
                    <a:prstGeom prst="rect"/>
                  </pic:spPr>
                </pic:pic>
              </a:graphicData>
            </a:graphic>
          </wp:inline>
        </w:drawing>
      </w:r>
    </w:p>
    <w:p>
      <w:pPr>
        <w:pStyle w:val="BodyText"/>
        <w:jc w:val="both"/>
      </w:pPr>
      <w:r>
        <w:t>Urban and rural areas gain a similar net benefit under both scenarios, consistent with the residence-level equity result narrowing rather than widening the urban/rural gap.</w:t>
      </w:r>
    </w:p>
    <w:p>
      <w:pPr>
        <w:pStyle w:val="ImageCaption"/>
      </w:pPr>
      <w:r>
        <w:t>Figure 13: Baseline vs. post-package HALE, wealth quintile and residence</w:t>
      </w:r>
    </w:p>
    <w:p>
      <w:pPr>
        <w:jc w:val="center"/>
      </w:pPr>
      <w:r>
        <w:drawing>
          <wp:inline>
            <wp:extent cx="5760720" cy="3456432"/>
            <wp:docPr id="85" name="Picture 85"/>
            <wp:cNvGraphicFramePr>
              <a:graphicFrameLocks noChangeAspect="1"/>
            </wp:cNvGraphicFramePr>
            <a:graphic>
              <a:graphicData uri="http://schemas.openxmlformats.org/drawingml/2006/picture">
                <pic:pic>
                  <pic:nvPicPr>
                    <pic:cNvPr id="0" name="dcea_hale_combined.png"/>
                    <pic:cNvPicPr/>
                  </pic:nvPicPr>
                  <pic:blipFill>
                    <a:blip r:embed="rId36"/>
                    <a:stretch>
                      <a:fillRect/>
                    </a:stretch>
                  </pic:blipFill>
                  <pic:spPr>
                    <a:xfrm>
                      <a:off x="0" y="0"/>
                      <a:ext cx="5760720" cy="3456432"/>
                    </a:xfrm>
                    <a:prstGeom prst="rect"/>
                  </pic:spPr>
                </pic:pic>
              </a:graphicData>
            </a:graphic>
          </wp:inline>
        </w:drawing>
      </w:r>
    </w:p>
    <w:p>
      <w:pPr>
        <w:pStyle w:val="BodyText"/>
        <w:jc w:val="both"/>
      </w:pPr>
      <w:r>
        <w:t>In absolute years of health-adjusted life expectancy, the richer quintile gains more than the poorest (+5.4 vs. +2.8 years) even though it starts from a higher baseline; rural areas gain marginally more years than urban areas.</w:t>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This note follows a quantitative, cost-effectiveness- and constrained-optimization-based approach to defining the benefits package, a distinct methodological choice from a deliberative approach built primarily around service norms, facility-level packages, or stakeholder consultation. The two are not mutually exclusive: an analysis of this kind is best used to inform a deliberative process rather than replace it, by making the cost-effectiveness and resource-capacity trade-offs it identifies explicit for discussion.</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pPr>
        <w:spacing w:line="240" w:lineRule="auto" w:before="0" w:after="0"/>
      </w:pPr>
      <w:r>
        <w:rPr>
          <w:rFonts w:ascii="Arial" w:hAnsi="Arial" w:cs="Arial" w:eastAsia="Arial"/>
          <w:sz w:val="14"/>
          <w:szCs w:val="14"/>
        </w:rPr>
        <w:continuationSeparator/>
      </w:r>
    </w:p>
  </w:footnote>
  <w:footnote w:type="separator" w:id="-1">
    <w:p>
      <w:pPr>
        <w:spacing w:line="240" w:lineRule="auto" w:before="0" w:after="0"/>
      </w:pPr>
      <w:r>
        <w:rPr>
          <w:rFonts w:ascii="Arial" w:hAnsi="Arial" w:cs="Arial" w:eastAsia="Arial"/>
          <w:sz w:val="14"/>
          <w:szCs w:val="14"/>
        </w:rPr>
        <w:separator/>
      </w:r>
    </w:p>
  </w:footnote>
  <w:footnote w:id="21">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Agence Nationale de la Statistique et de la Démographie (ANSD), 5e Recensement Général de la Population et de l’Habitat (RGPH-5), Rapport provisoire, chapitre 1, juillet 2024.</w:t>
      </w:r>
    </w:p>
  </w:footnote>
  <w:footnote w:id="2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Enquête Démographique et de Santé Continue (EDS-Continue) 2023, Rapport des indicateurs clés; </w:t>
      </w:r>
      <w:hyperlink r:id="rId1">
        <w:r>
          <w:rPr>
            <w:rFonts w:ascii="Arial" w:hAnsi="Arial" w:cs="Arial" w:eastAsia="Arial"/>
            <w:sz w:val="14"/>
            <w:szCs w:val="14"/>
            <w:color w:val="0563C1"/>
            <w:u w:val="single"/>
          </w:rPr>
          <w:t xml:space="preserve">DHS Program, Senegal Continuous DHS 2023 (FR368)</w:t>
        </w:r>
      </w:hyperlink>
      <w:r>
        <w:rPr>
          <w:rFonts w:ascii="Arial" w:hAnsi="Arial" w:cs="Arial" w:eastAsia="Arial"/>
          <w:sz w:val="14"/>
          <w:szCs w:val="14"/>
        </w:rPr>
        <w:t xml:space="preserve">.</w:t>
      </w:r>
    </w:p>
  </w:footnote>
  <w:footnote w:id="2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hyperlink r:id="rId2">
        <w:r>
          <w:rPr>
            <w:rFonts w:ascii="Arial" w:hAnsi="Arial" w:cs="Arial" w:eastAsia="Arial"/>
            <w:sz w:val="14"/>
            <w:szCs w:val="14"/>
            <w:color w:val="0563C1"/>
            <w:u w:val="single"/>
          </w:rPr>
          <w:t xml:space="preserve">Institute for Health Metrics and Evaluation (IHME), Global Burden of Disease</w:t>
        </w:r>
      </w:hyperlink>
      <w:r>
        <w:rPr>
          <w:rFonts w:ascii="Arial" w:hAnsi="Arial" w:cs="Arial" w:eastAsia="Arial"/>
          <w:sz w:val="14"/>
          <w:szCs w:val="14"/>
        </w:rPr>
        <w:t xml:space="preserve">, Senegal extract, cumulative DALYs 2023.</w:t>
      </w:r>
    </w:p>
  </w:footnote>
  <w:footnote w:id="29">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Jamison D. et al. (2018), </w:t>
      </w:r>
      <w:hyperlink r:id="rId3">
        <w:r>
          <w:rPr>
            <w:rFonts w:ascii="Arial" w:hAnsi="Arial" w:cs="Arial" w:eastAsia="Arial"/>
            <w:sz w:val="14"/>
            <w:szCs w:val="14"/>
            <w:color w:val="0563C1"/>
            <w:u w:val="single"/>
          </w:rPr>
          <w:t xml:space="preserve">Disease Control Priorities, 3rd edition</w:t>
        </w:r>
      </w:hyperlink>
      <w:r>
        <w:rPr>
          <w:rFonts w:ascii="Arial" w:hAnsi="Arial" w:cs="Arial" w:eastAsia="Arial"/>
          <w:sz w:val="14"/>
          <w:szCs w:val="14"/>
        </w:rPr>
        <w:t xml:space="preserve">.</w:t>
      </w:r>
    </w:p>
  </w:footnote>
  <w:footnote w:id="30">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Stenberg K. et al. (2017), </w:t>
      </w:r>
      <w:hyperlink r:id="rId4">
        <w:r>
          <w:rPr>
            <w:rFonts w:ascii="Arial" w:hAnsi="Arial" w:cs="Arial" w:eastAsia="Arial"/>
            <w:sz w:val="14"/>
            <w:szCs w:val="14"/>
            <w:color w:val="0563C1"/>
            <w:u w:val="single"/>
          </w:rPr>
          <w:t xml:space="preserve">OneHealth Tool manual, Avenir Health/WHO</w:t>
        </w:r>
      </w:hyperlink>
      <w:r>
        <w:rPr>
          <w:rFonts w:ascii="Arial" w:hAnsi="Arial" w:cs="Arial" w:eastAsia="Arial"/>
          <w:sz w:val="14"/>
          <w:szCs w:val="14"/>
        </w:rPr>
        <w:t xml:space="preserve">.</w:t>
      </w:r>
    </w:p>
  </w:footnote>
  <w:footnote w:id="3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(2026), Situation Économique et Sociale du Sénégal, Ed. 2024.</w:t>
      </w:r>
    </w:p>
  </w:footnote>
  <w:footnote w:id="33">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ANSD/MSAS workforce data.</w:t>
      </w:r>
    </w:p>
  </w:footnote>
  <w:footnote w:id="3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Ministère de la Santé et de l’Action Sociale (MSAS), Plan National de Développement Sanitaire et Social (PNDSS) 2019-2028, ligne 52.</w:t>
      </w:r>
    </w:p>
  </w:footnote>
  <w:footnote w:id="36">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Comptes Nationaux de la Santé, MSAS.</w:t>
      </w:r>
    </w:p>
  </w:footnote>
  <w:footnote w:id="37">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ANSD, Situation Économique et Sociale du Sénégal, édition 2019 (publiée janvier 2022), section Santé.</w:t>
      </w:r>
    </w:p>
  </w:footnote>
  <w:footnote w:id="38">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Ministère des Finances et du Budget, Rapport d’exécution budgétaire, deuxième trimestre 2024.</w:t>
      </w:r>
    </w:p>
  </w:footnote>
  <w:footnote w:id="40">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w:t>
      </w:r>
      <w:r>
        <w:rPr>
          <w:rFonts w:ascii="Arial" w:hAnsi="Arial" w:cs="Arial" w:eastAsia="Arial"/>
          <w:sz w:val="14"/>
          <w:szCs w:val="14"/>
        </w:rPr>
        <w:t xml:space="preserve">Alwan A. et al. (2024), Ten Steps for Setting the Essential Package of Health Services in Pakistan.</w:t>
      </w:r>
    </w:p>
  </w:footnote>
  <w:footnote w:id="41">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spacing w:line="240" w:lineRule="auto" w:before="0" w:after="0"/>
      </w:pPr>
      <w:r>
        <w:rPr>
          <w:rStyle w:val="FootnoteReference"/>
          <w:rFonts w:ascii="Arial" w:hAnsi="Arial" w:cs="Arial" w:eastAsia="Arial"/>
          <w:sz w:val="14"/>
          <w:szCs w:val="14"/>
        </w:rPr>
        <w:footnoteRef/>
      </w:r>
      <w:r>
        <w:rPr>
          <w:rFonts w:ascii="Arial" w:hAnsi="Arial" w:cs="Arial" w:eastAsia="Arial"/>
          <w:sz w:val="14"/>
          <w:szCs w:val="14"/>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pPr>
      <w:spacing w:line="240" w:lineRule="auto" w:before="0" w:after="0"/>
    </w:pPr>
    <w:rPr>
      <w:rFonts w:ascii="Arial" w:hAnsi="Arial"/>
      <w:sz w:val="14"/>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4"/>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_rels/footnotes.xml.rels><?xml version='1.0' encoding='UTF-8' standalone='yes'?>
<Relationships xmlns="http://schemas.openxmlformats.org/package/2006/relationships"><Relationship Id="rId1" Type="http://schemas.openxmlformats.org/officeDocument/2006/relationships/hyperlink" Target="https://www.dhsprogram.com/methodology/survey/survey-display-587.cfm" TargetMode="External"/><Relationship Id="rId2" Type="http://schemas.openxmlformats.org/officeDocument/2006/relationships/hyperlink" Target="https://www.healthdata.org/research-analysis/gbd" TargetMode="External"/><Relationship Id="rId3" Type="http://schemas.openxmlformats.org/officeDocument/2006/relationships/hyperlink" Target="https://dcp-3.org/" TargetMode="External"/><Relationship Id="rId4" Type="http://schemas.openxmlformats.org/officeDocument/2006/relationships/hyperlink" Target="https://www.avenirhealth.org/software-onehealt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