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FULL LOGISTICS SARL</w:t>
      </w:r>
    </w:p>
    <w:p>
      <w:pPr>
        <w:spacing w:after="0"/>
        <w:jc w:val="center"/>
      </w:pPr>
      <w:r>
        <w:rPr>
          <w:b w:val="0"/>
          <w:color w:val="555555"/>
          <w:sz w:val="16"/>
        </w:rPr>
        <w:t>Société à responsabilité limitée au capital de 100 000 F CFA</w:t>
      </w:r>
    </w:p>
    <w:p>
      <w:pPr>
        <w:spacing w:after="0"/>
        <w:jc w:val="center"/>
      </w:pPr>
      <w:r>
        <w:rPr>
          <w:b w:val="0"/>
          <w:color w:val="555555"/>
          <w:sz w:val="16"/>
        </w:rPr>
        <w:t>HLM Mariste, Îlot Z, Villa n° 4 — Dakar, Sénégal — Tél. : +221 77 645 65 17</w:t>
      </w:r>
    </w:p>
    <w:p>
      <w:pPr>
        <w:spacing w:after="440"/>
        <w:jc w:val="center"/>
      </w:pPr>
      <w:r>
        <w:rPr>
          <w:b w:val="0"/>
          <w:color w:val="555555"/>
          <w:sz w:val="16"/>
        </w:rPr>
        <w:t>RCCM SN DKR 2024 B 11455  ·  NINEA 011088152</w:t>
      </w:r>
    </w:p>
    <w:p>
      <w:pPr>
        <w:spacing w:after="320"/>
        <w:jc w:val="right"/>
      </w:pPr>
      <w:r>
        <w:rPr>
          <w:b w:val="0"/>
        </w:rPr>
        <w:t>Dakar, le 29 juin 2026</w:t>
      </w:r>
    </w:p>
    <w:p>
      <w:pPr>
        <w:spacing w:after="0"/>
      </w:pPr>
      <w:r>
        <w:rPr>
          <w:b/>
        </w:rPr>
        <w:t>FONSTAB</w:t>
      </w:r>
    </w:p>
    <w:p>
      <w:pPr>
        <w:spacing w:after="0"/>
      </w:pPr>
      <w:r>
        <w:rPr>
          <w:b w:val="0"/>
        </w:rPr>
        <w:t>Madame l'Administratrice</w:t>
      </w:r>
    </w:p>
    <w:p>
      <w:pPr>
        <w:spacing w:after="0"/>
      </w:pPr>
      <w:r>
        <w:rPr>
          <w:b w:val="0"/>
        </w:rPr>
        <w:t>Sphères ministérielles Ousmane Tanor Dieng</w:t>
      </w:r>
    </w:p>
    <w:p>
      <w:pPr>
        <w:spacing w:after="360"/>
      </w:pPr>
      <w:r>
        <w:rPr>
          <w:b w:val="0"/>
        </w:rPr>
        <w:t>Bâtiment C — Diamniadio, Sénégal</w:t>
      </w:r>
    </w:p>
    <w:p>
      <w:pPr>
        <w:spacing w:after="280"/>
      </w:pPr>
      <w:r>
        <w:rPr>
          <w:b/>
        </w:rPr>
        <w:t>Objet : demande d'agrément en qualité d'opérateur événementiel</w:t>
      </w:r>
    </w:p>
    <w:p>
      <w:pPr>
        <w:spacing w:after="180"/>
        <w:jc w:val="both"/>
      </w:pPr>
      <w:r>
        <w:rPr>
          <w:b w:val="0"/>
        </w:rPr>
        <w:t>Madame l'Administratrice,</w:t>
      </w:r>
    </w:p>
    <w:p>
      <w:pPr>
        <w:spacing w:after="180"/>
        <w:jc w:val="both"/>
      </w:pPr>
      <w:r>
        <w:rPr>
          <w:b w:val="0"/>
        </w:rPr>
        <w:t>Nous avons l'honneur de solliciter votre agrément pour la conduite complète de vos manifestations.</w:t>
      </w:r>
    </w:p>
    <w:p>
      <w:pPr>
        <w:spacing w:after="180"/>
        <w:jc w:val="both"/>
      </w:pPr>
      <w:r>
        <w:rPr>
          <w:b w:val="0"/>
        </w:rPr>
        <w:t>Full Logistics prend une rencontre à sa charge du cadrage jusqu'au dossier de clôture. Nous en arrêtons le budget et le calendrier, retenons le site, mobilisons les moyens et les équipes, tenons la séance, puis rendons les lieux et le compte de la dépense. Le commanditaire garde la décision ; nous portons l'exécution.</w:t>
      </w:r>
    </w:p>
    <w:p>
      <w:pPr>
        <w:spacing w:after="180"/>
        <w:jc w:val="both"/>
      </w:pPr>
      <w:r>
        <w:rPr>
          <w:b/>
        </w:rPr>
        <w:t xml:space="preserve">Cadrage. </w:t>
      </w:r>
      <w:r>
        <w:t>Étude du besoin, repérage et réservation du site, budget par poste, rétroplanning, préparation et suivi des invitations.</w:t>
      </w:r>
    </w:p>
    <w:p>
      <w:pPr>
        <w:spacing w:after="180"/>
        <w:jc w:val="both"/>
      </w:pPr>
      <w:r>
        <w:rPr>
          <w:b/>
        </w:rPr>
        <w:t xml:space="preserve">Montage. </w:t>
      </w:r>
      <w:r>
        <w:t>Transport et pose des équipements, agencement des salles et des espaces d'exposition, régie du son et de l'image, balisage des accès.</w:t>
      </w:r>
    </w:p>
    <w:p>
      <w:pPr>
        <w:spacing w:after="180"/>
        <w:jc w:val="both"/>
      </w:pPr>
      <w:r>
        <w:rPr>
          <w:b/>
        </w:rPr>
        <w:t xml:space="preserve">Conduite de la séance. </w:t>
      </w:r>
      <w:r>
        <w:t>Enregistrement des participants, tenue du programme, liaison avec le protocole, restauration, prise en charge des délégations et de leurs déplacements.</w:t>
      </w:r>
    </w:p>
    <w:p>
      <w:pPr>
        <w:spacing w:after="180"/>
        <w:jc w:val="both"/>
      </w:pPr>
      <w:r>
        <w:rPr>
          <w:b/>
        </w:rPr>
        <w:t xml:space="preserve">Clôture. </w:t>
      </w:r>
      <w:r>
        <w:t>Démontage, restitution du site dans son état initial, dossier de fin de mission : liste de présence, photographies, dépenses justifiées.</w:t>
      </w:r>
    </w:p>
    <w:p>
      <w:pPr>
        <w:spacing w:after="180"/>
        <w:jc w:val="both"/>
      </w:pPr>
      <w:r>
        <w:rPr>
          <w:b w:val="0"/>
        </w:rPr>
        <w:t>Nos véhicules, nos équipes de manutention et notre réseau de prestataires nous permettent de tenir une manifestation à Dakar comme en région, y compris lorsqu'elle se déplace d'un site à l'autre. Un coordonnateur est désigné à la commande et reste votre interlocuteur jusqu'à la remise du dossier.</w:t>
      </w:r>
    </w:p>
    <w:p>
      <w:pPr>
        <w:spacing w:after="180"/>
        <w:jc w:val="both"/>
      </w:pPr>
      <w:r>
        <w:rPr>
          <w:b w:val="0"/>
        </w:rPr>
        <w:t>Nos activités déclarées couvrent la manutention et le shipping, le transport routier, le transport de personnes et le tourisme, ainsi que le commerce général : les prestations ci-dessus s'y rattachent.</w:t>
      </w:r>
    </w:p>
    <w:p>
      <w:pPr>
        <w:spacing w:after="180"/>
        <w:jc w:val="both"/>
      </w:pPr>
      <w:r>
        <w:rPr>
          <w:b w:val="0"/>
        </w:rPr>
        <w:t>Les documents d'immatriculation de la société sont joints à la présente.</w:t>
      </w:r>
    </w:p>
    <w:p>
      <w:pPr>
        <w:spacing w:after="180"/>
        <w:jc w:val="both"/>
      </w:pPr>
      <w:r>
        <w:rPr>
          <w:b w:val="0"/>
        </w:rPr>
        <w:t>Dans l'attente d'une suite favorable, nous vous prions d'agréer, Madame l'Administratrice, l'expression de notre haute considération.</w:t>
      </w:r>
    </w:p>
    <w:p>
      <w:pPr>
        <w:spacing w:after="480"/>
      </w:pPr>
    </w:p>
    <w:p>
      <w:pPr>
        <w:spacing w:after="0"/>
      </w:pPr>
      <w:r>
        <w:rPr>
          <w:b/>
        </w:rPr>
        <w:t>Babacar GUEYE</w:t>
      </w:r>
    </w:p>
    <w:p>
      <w:pPr>
        <w:spacing w:after="0"/>
      </w:pPr>
      <w:r>
        <w:rPr>
          <w:b w:val="0"/>
          <w:color w:val="555555"/>
          <w:sz w:val="19"/>
        </w:rPr>
        <w:t>Gérant</w:t>
      </w:r>
    </w:p>
    <w:sectPr w:rsidR="00FC693F" w:rsidRPr="0006063C" w:rsidSect="00034616">
      <w:pgSz w:w="12240" w:h="15840"/>
      <w:pgMar w:top="964" w:right="1304" w:bottom="85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64"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