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A35C0B">
      <w:pPr>
        <w:pStyle w:val="32"/>
      </w:pPr>
      <w:r>
        <w:t>先导杯校内赛赛题说明</w:t>
      </w:r>
    </w:p>
    <w:p w14:paraId="2BC468D9">
      <w:pPr>
        <w:widowControl/>
      </w:pPr>
      <w:r>
        <w:rPr>
          <w:b/>
        </w:rPr>
        <w:t>算启生物，智造未来——面向国产DCU的ProGen2蛋白质序列生成推理优化</w:t>
      </w:r>
    </w:p>
    <w:p w14:paraId="5336D6AD">
      <w:pPr>
        <w:widowControl/>
      </w:pPr>
      <w:r>
        <w:rPr>
          <w:b w:val="0"/>
        </w:rPr>
        <w:t>本说明明确比赛任务、统一模型、程序接口、四种测试负载、评分方法和作品提交要求。比赛以队伍为单位，每队1至3人，在分配的海光DCU资源上开发并测试一套优化程序，提交最终源码、原始测试记录和优化报告。</w:t>
      </w:r>
    </w:p>
    <w:p w14:paraId="39E6966B">
      <w:pPr>
        <w:pStyle w:val="3"/>
      </w:pPr>
      <w:r>
        <w:t>一 比赛背景与任务</w:t>
      </w:r>
    </w:p>
    <w:p w14:paraId="61DE9C10">
      <w:pPr>
        <w:widowControl/>
      </w:pPr>
      <w:r>
        <w:rPr>
          <w:b w:val="0"/>
        </w:rPr>
        <w:t>蛋白质语言模型能够根据已有的氨基酸序列前缀继续生成序列。生成过程包含对输入前缀的计算，以及逐步预测新字母的重复推理。模型的缓存方式、计算精度、算子实现和生成流程都会影响运行时间与显存占用。</w:t>
      </w:r>
    </w:p>
    <w:p w14:paraId="39ECC0BA">
      <w:pPr>
        <w:widowControl/>
      </w:pPr>
      <w:r>
        <w:rPr>
          <w:b w:val="0"/>
        </w:rPr>
        <w:t>本题以官方开源的ProGen2-medium预训练模型为对象，考查参赛者在国产DCU上的模型部署、性能分析、推理实现与优化能力。比赛不要求从零编写推理引擎，也不要求直接使用vLLM等专用推理框架；可以基于PyTorch与Transformers进行优化，或使用C++、HIP及其他能够适配DCU的实现。</w:t>
      </w:r>
    </w:p>
    <w:p w14:paraId="3A044F14">
      <w:pPr>
        <w:pStyle w:val="4"/>
      </w:pPr>
      <w:r>
        <w:t>参赛同学需要完成的工作</w:t>
      </w:r>
    </w:p>
    <w:p w14:paraId="668D95E5">
      <w:pPr>
        <w:widowControl/>
        <w:spacing w:after="100"/>
        <w:ind w:left="204" w:hanging="204"/>
      </w:pPr>
      <w:r>
        <w:rPr>
          <w:b w:val="0"/>
        </w:rPr>
        <w:t>1. 使用队伍账号选择DCU开发镜像并创建容器，连接终端并补齐依赖；上传解压题目包、检查环境，阅读说明后运行FP32基准。</w:t>
      </w:r>
    </w:p>
    <w:p w14:paraId="55304C20">
      <w:pPr>
        <w:widowControl/>
        <w:spacing w:after="100"/>
        <w:ind w:left="204" w:hanging="204"/>
      </w:pPr>
      <w:r>
        <w:rPr>
          <w:b w:val="0"/>
        </w:rPr>
        <w:t>2. 在submission目录中按统一接口实现程序，分析性能瓶颈并完成推理优化。</w:t>
      </w:r>
    </w:p>
    <w:p w14:paraId="23D678DF">
      <w:pPr>
        <w:widowControl/>
        <w:spacing w:after="100"/>
        <w:ind w:left="204" w:hanging="204"/>
      </w:pPr>
      <w:r>
        <w:rPr>
          <w:b w:val="0"/>
        </w:rPr>
        <w:t>3. 用同一套程序自动完成四种</w:t>
      </w:r>
      <w:r>
        <w:rPr>
          <w:rFonts w:hint="eastAsia"/>
          <w:b w:val="0"/>
          <w:lang w:val="en-US" w:eastAsia="zh-CN"/>
        </w:rPr>
        <w:t>测试任务</w:t>
      </w:r>
      <w:r>
        <w:rPr>
          <w:b w:val="0"/>
        </w:rPr>
        <w:t>，返回规定数量与长度的新生成序列。</w:t>
      </w:r>
    </w:p>
    <w:p w14:paraId="31474794">
      <w:pPr>
        <w:widowControl/>
        <w:spacing w:after="100"/>
        <w:ind w:left="204" w:hanging="204"/>
      </w:pPr>
      <w:r>
        <w:rPr>
          <w:b w:val="0"/>
        </w:rPr>
        <w:t>4. 运行题目包提供的测试脚本，检查输出格式与结果一致性，比较完整生成耗时，保存原始JSON和完整日志。</w:t>
      </w:r>
    </w:p>
    <w:p w14:paraId="3A4D03E5">
      <w:pPr>
        <w:widowControl/>
        <w:spacing w:after="100"/>
        <w:ind w:left="204" w:hanging="204"/>
      </w:pPr>
      <w:r>
        <w:rPr>
          <w:b w:val="0"/>
        </w:rPr>
        <w:t>5. 提交优化源码、优化报告（含运行说明）及对应实验记录。</w:t>
      </w:r>
    </w:p>
    <w:p w14:paraId="4071ABA8">
      <w:pPr>
        <w:pStyle w:val="4"/>
      </w:pPr>
      <w:r>
        <w:t>统一模型</w:t>
      </w:r>
    </w:p>
    <w:p w14:paraId="1DA1AFE1">
      <w:pPr>
        <w:widowControl/>
      </w:pPr>
      <w:r>
        <w:rPr>
          <w:b w:val="0"/>
        </w:rPr>
        <w:t>使用官方ProGen2-medium预训练模型，约7.65亿参数。题目包提供的公共权重文件为3,060,333,315字节，约3.06 GB；模型支持的上下文长度为1024 Token。所有方案以这份公共权重和统一Tokenizer为起点，不能替换成其他规格或其他模型。</w:t>
      </w:r>
    </w:p>
    <w:p w14:paraId="0BF3D7E8">
      <w:pPr>
        <w:pStyle w:val="3"/>
        <w:pageBreakBefore/>
      </w:pPr>
      <w:r>
        <w:t>二 题目包与文件说明</w:t>
      </w:r>
    </w:p>
    <w:p w14:paraId="4371175B">
      <w:pPr>
        <w:widowControl/>
      </w:pPr>
      <w:r>
        <w:rPr>
          <w:b w:val="0"/>
        </w:rPr>
        <w:t>完整学生题目包包含公共模型、可运行的FP32基准、待实现的学生接口骨架、规定输入与FP32参考结果，以及测试程序。学生无需自行下载其他版本的模型。下列路径均相对于题目包根目录。</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969"/>
        <w:gridCol w:w="5953"/>
      </w:tblGrid>
      <w:tr w14:paraId="0BC539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969" w:type="dxa"/>
            <w:shd w:val="clear" w:color="auto" w:fill="E8EDF2"/>
            <w:tcMar>
              <w:top w:w="65" w:type="dxa"/>
              <w:left w:w="85" w:type="dxa"/>
              <w:bottom w:w="65" w:type="dxa"/>
              <w:right w:w="85" w:type="dxa"/>
            </w:tcMar>
            <w:vAlign w:val="center"/>
          </w:tcPr>
          <w:p w14:paraId="7C9E5E56">
            <w:pPr>
              <w:spacing w:before="20" w:after="20" w:line="264" w:lineRule="auto"/>
              <w:jc w:val="center"/>
              <w:rPr>
                <w:sz w:val="21"/>
                <w:szCs w:val="21"/>
              </w:rPr>
            </w:pPr>
            <w:r>
              <w:rPr>
                <w:b/>
                <w:sz w:val="21"/>
                <w:szCs w:val="21"/>
              </w:rPr>
              <w:t>文件或目录</w:t>
            </w:r>
          </w:p>
        </w:tc>
        <w:tc>
          <w:tcPr>
            <w:tcW w:w="5953" w:type="dxa"/>
            <w:shd w:val="clear" w:color="auto" w:fill="E8EDF2"/>
            <w:tcMar>
              <w:top w:w="65" w:type="dxa"/>
              <w:left w:w="85" w:type="dxa"/>
              <w:bottom w:w="65" w:type="dxa"/>
              <w:right w:w="85" w:type="dxa"/>
            </w:tcMar>
            <w:vAlign w:val="center"/>
          </w:tcPr>
          <w:p w14:paraId="0BA3EC67">
            <w:pPr>
              <w:spacing w:before="20" w:after="20" w:line="264" w:lineRule="auto"/>
              <w:jc w:val="center"/>
              <w:rPr>
                <w:sz w:val="21"/>
                <w:szCs w:val="21"/>
              </w:rPr>
            </w:pPr>
            <w:r>
              <w:rPr>
                <w:b/>
                <w:sz w:val="21"/>
                <w:szCs w:val="21"/>
              </w:rPr>
              <w:t>用途与学生需要了解的内容</w:t>
            </w:r>
          </w:p>
        </w:tc>
      </w:tr>
      <w:tr w14:paraId="096C2C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969" w:type="dxa"/>
            <w:vAlign w:val="center"/>
          </w:tcPr>
          <w:p w14:paraId="5A1E2166">
            <w:pPr>
              <w:spacing w:before="40" w:after="40" w:line="259" w:lineRule="auto"/>
              <w:rPr>
                <w:sz w:val="21"/>
                <w:szCs w:val="21"/>
              </w:rPr>
            </w:pPr>
            <w:r>
              <w:rPr>
                <w:rFonts w:ascii="Arial" w:hAnsi="Arial" w:eastAsia="宋体"/>
                <w:sz w:val="21"/>
                <w:szCs w:val="21"/>
              </w:rPr>
              <w:t>README.md</w:t>
            </w:r>
          </w:p>
        </w:tc>
        <w:tc>
          <w:tcPr>
            <w:tcW w:w="5953" w:type="dxa"/>
            <w:vAlign w:val="center"/>
          </w:tcPr>
          <w:p w14:paraId="627BDF56">
            <w:pPr>
              <w:spacing w:before="40" w:after="40" w:line="259" w:lineRule="auto"/>
              <w:rPr>
                <w:sz w:val="21"/>
                <w:szCs w:val="21"/>
              </w:rPr>
            </w:pPr>
            <w:r>
              <w:rPr>
                <w:rFonts w:ascii="Arial" w:hAnsi="Arial" w:eastAsia="宋体"/>
                <w:sz w:val="21"/>
                <w:szCs w:val="21"/>
              </w:rPr>
              <w:t>学生首先阅读的总入口，说明文件角色、基准运行、作品测试与提交流程。</w:t>
            </w:r>
          </w:p>
        </w:tc>
      </w:tr>
      <w:tr w14:paraId="080396E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969" w:type="dxa"/>
            <w:vAlign w:val="center"/>
          </w:tcPr>
          <w:p w14:paraId="54609DCA">
            <w:pPr>
              <w:spacing w:before="40" w:after="40" w:line="259" w:lineRule="auto"/>
              <w:rPr>
                <w:sz w:val="21"/>
                <w:szCs w:val="21"/>
              </w:rPr>
            </w:pPr>
            <w:r>
              <w:rPr>
                <w:rFonts w:ascii="Arial" w:hAnsi="Arial" w:eastAsia="宋体"/>
                <w:sz w:val="21"/>
                <w:szCs w:val="21"/>
              </w:rPr>
              <w:t>docs/赛题说明.docx</w:t>
            </w:r>
          </w:p>
        </w:tc>
        <w:tc>
          <w:tcPr>
            <w:tcW w:w="5953" w:type="dxa"/>
            <w:vAlign w:val="center"/>
          </w:tcPr>
          <w:p w14:paraId="70CA7D0A">
            <w:pPr>
              <w:spacing w:before="40" w:after="40" w:line="259" w:lineRule="auto"/>
              <w:rPr>
                <w:sz w:val="21"/>
                <w:szCs w:val="21"/>
              </w:rPr>
            </w:pPr>
            <w:r>
              <w:rPr>
                <w:rFonts w:ascii="Arial" w:hAnsi="Arial" w:eastAsia="宋体"/>
                <w:sz w:val="21"/>
                <w:szCs w:val="21"/>
              </w:rPr>
              <w:t>完整任务、四负载、允许范围、测试记录和评分规则。</w:t>
            </w:r>
          </w:p>
        </w:tc>
      </w:tr>
      <w:tr w14:paraId="462805D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969" w:type="dxa"/>
            <w:vAlign w:val="center"/>
          </w:tcPr>
          <w:p w14:paraId="322CCFF9">
            <w:pPr>
              <w:spacing w:before="40" w:after="40" w:line="259" w:lineRule="auto"/>
              <w:rPr>
                <w:sz w:val="21"/>
                <w:szCs w:val="21"/>
              </w:rPr>
            </w:pPr>
            <w:r>
              <w:rPr>
                <w:rFonts w:ascii="Arial" w:hAnsi="Arial" w:eastAsia="宋体"/>
                <w:sz w:val="21"/>
                <w:szCs w:val="21"/>
              </w:rPr>
              <w:t>docs/报告模板.docx</w:t>
            </w:r>
          </w:p>
        </w:tc>
        <w:tc>
          <w:tcPr>
            <w:tcW w:w="5953" w:type="dxa"/>
            <w:vAlign w:val="center"/>
          </w:tcPr>
          <w:p w14:paraId="514C6F55">
            <w:pPr>
              <w:spacing w:before="40" w:after="40" w:line="259" w:lineRule="auto"/>
              <w:rPr>
                <w:sz w:val="21"/>
                <w:szCs w:val="21"/>
              </w:rPr>
            </w:pPr>
            <w:r>
              <w:rPr>
                <w:rFonts w:ascii="Arial" w:hAnsi="Arial" w:eastAsia="宋体"/>
                <w:sz w:val="21"/>
                <w:szCs w:val="21"/>
              </w:rPr>
              <w:t>必交优化报告模板，含比赛、成员、队长、实验与分工信息。</w:t>
            </w:r>
          </w:p>
        </w:tc>
      </w:tr>
      <w:tr w14:paraId="32C66B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969" w:type="dxa"/>
            <w:vAlign w:val="center"/>
          </w:tcPr>
          <w:p w14:paraId="0326A00F">
            <w:pPr>
              <w:spacing w:before="40" w:after="40" w:line="259" w:lineRule="auto"/>
              <w:rPr>
                <w:sz w:val="21"/>
                <w:szCs w:val="21"/>
              </w:rPr>
            </w:pPr>
            <w:r>
              <w:rPr>
                <w:rFonts w:ascii="Arial" w:hAnsi="Arial" w:eastAsia="宋体"/>
                <w:sz w:val="21"/>
                <w:szCs w:val="21"/>
              </w:rPr>
              <w:t>docs/BASELINE.md</w:t>
            </w:r>
          </w:p>
        </w:tc>
        <w:tc>
          <w:tcPr>
            <w:tcW w:w="5953" w:type="dxa"/>
            <w:vAlign w:val="center"/>
          </w:tcPr>
          <w:p w14:paraId="2520EF56">
            <w:pPr>
              <w:spacing w:before="40" w:after="40" w:line="259" w:lineRule="auto"/>
              <w:rPr>
                <w:sz w:val="21"/>
                <w:szCs w:val="21"/>
              </w:rPr>
            </w:pPr>
            <w:r>
              <w:rPr>
                <w:rFonts w:ascii="Arial" w:hAnsi="Arial" w:eastAsia="宋体"/>
                <w:sz w:val="21"/>
                <w:szCs w:val="21"/>
              </w:rPr>
              <w:t>统一FP32基准的实现含义、运行步骤和结果字段。</w:t>
            </w:r>
          </w:p>
        </w:tc>
      </w:tr>
      <w:tr w14:paraId="30C4EE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969" w:type="dxa"/>
            <w:vAlign w:val="center"/>
          </w:tcPr>
          <w:p w14:paraId="5017FB58">
            <w:pPr>
              <w:spacing w:before="40" w:after="40" w:line="259" w:lineRule="auto"/>
              <w:rPr>
                <w:sz w:val="21"/>
                <w:szCs w:val="21"/>
              </w:rPr>
            </w:pPr>
            <w:r>
              <w:rPr>
                <w:rFonts w:ascii="Arial" w:hAnsi="Arial" w:eastAsia="宋体"/>
                <w:sz w:val="21"/>
                <w:szCs w:val="21"/>
              </w:rPr>
              <w:t>docs/INTERFACE.md</w:t>
            </w:r>
          </w:p>
        </w:tc>
        <w:tc>
          <w:tcPr>
            <w:tcW w:w="5953" w:type="dxa"/>
            <w:vAlign w:val="center"/>
          </w:tcPr>
          <w:p w14:paraId="4F5CD394">
            <w:pPr>
              <w:spacing w:before="40" w:after="40" w:line="259" w:lineRule="auto"/>
              <w:rPr>
                <w:sz w:val="21"/>
                <w:szCs w:val="21"/>
              </w:rPr>
            </w:pPr>
            <w:r>
              <w:rPr>
                <w:rFonts w:ascii="Arial" w:hAnsi="Arial" w:eastAsia="宋体"/>
                <w:sz w:val="21"/>
                <w:szCs w:val="21"/>
              </w:rPr>
              <w:t>学生Solution接口契约及每个参数、返回值的要求。</w:t>
            </w:r>
          </w:p>
        </w:tc>
      </w:tr>
      <w:tr w14:paraId="68D819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969" w:type="dxa"/>
            <w:vAlign w:val="center"/>
          </w:tcPr>
          <w:p w14:paraId="775B88A4">
            <w:pPr>
              <w:spacing w:before="40" w:after="40" w:line="259" w:lineRule="auto"/>
              <w:rPr>
                <w:sz w:val="21"/>
                <w:szCs w:val="21"/>
              </w:rPr>
            </w:pPr>
            <w:r>
              <w:rPr>
                <w:rFonts w:ascii="Arial" w:hAnsi="Arial" w:eastAsia="宋体"/>
                <w:sz w:val="21"/>
                <w:szCs w:val="21"/>
              </w:rPr>
              <w:t>docs/SUBMISSION.md</w:t>
            </w:r>
          </w:p>
        </w:tc>
        <w:tc>
          <w:tcPr>
            <w:tcW w:w="5953" w:type="dxa"/>
            <w:vAlign w:val="center"/>
          </w:tcPr>
          <w:p w14:paraId="5C66B455">
            <w:pPr>
              <w:spacing w:before="40" w:after="40" w:line="259" w:lineRule="auto"/>
              <w:rPr>
                <w:sz w:val="21"/>
                <w:szCs w:val="21"/>
              </w:rPr>
            </w:pPr>
            <w:r>
              <w:rPr>
                <w:rFonts w:ascii="Arial" w:hAnsi="Arial" w:eastAsia="宋体"/>
                <w:sz w:val="21"/>
                <w:szCs w:val="21"/>
              </w:rPr>
              <w:t>最终作品内容、报告要求、清理与提交前检查。</w:t>
            </w:r>
          </w:p>
        </w:tc>
      </w:tr>
      <w:tr w14:paraId="7B30AF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969" w:type="dxa"/>
            <w:vAlign w:val="center"/>
          </w:tcPr>
          <w:p w14:paraId="728C2FF1">
            <w:pPr>
              <w:spacing w:before="40" w:after="40" w:line="259" w:lineRule="auto"/>
              <w:rPr>
                <w:sz w:val="21"/>
                <w:szCs w:val="21"/>
              </w:rPr>
            </w:pPr>
            <w:r>
              <w:rPr>
                <w:rFonts w:ascii="Arial" w:hAnsi="Arial" w:eastAsia="宋体"/>
                <w:sz w:val="21"/>
                <w:szCs w:val="21"/>
              </w:rPr>
              <w:t>baseline/solution.py</w:t>
            </w:r>
          </w:p>
        </w:tc>
        <w:tc>
          <w:tcPr>
            <w:tcW w:w="5953" w:type="dxa"/>
            <w:vAlign w:val="center"/>
          </w:tcPr>
          <w:p w14:paraId="46D0479B">
            <w:pPr>
              <w:spacing w:before="40" w:after="40" w:line="259" w:lineRule="auto"/>
              <w:rPr>
                <w:sz w:val="21"/>
                <w:szCs w:val="21"/>
              </w:rPr>
            </w:pPr>
            <w:r>
              <w:rPr>
                <w:rFonts w:ascii="Arial" w:hAnsi="Arial" w:eastAsia="宋体"/>
                <w:sz w:val="21"/>
                <w:szCs w:val="21"/>
              </w:rPr>
              <w:t>可运行的原始FP32动态KV对照程序，作为统一基准保留。</w:t>
            </w:r>
          </w:p>
        </w:tc>
      </w:tr>
      <w:tr w14:paraId="1E37DD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969" w:type="dxa"/>
            <w:vAlign w:val="center"/>
          </w:tcPr>
          <w:p w14:paraId="306220AE">
            <w:pPr>
              <w:spacing w:before="40" w:after="40" w:line="259" w:lineRule="auto"/>
              <w:rPr>
                <w:sz w:val="21"/>
                <w:szCs w:val="21"/>
              </w:rPr>
            </w:pPr>
            <w:r>
              <w:rPr>
                <w:rFonts w:ascii="Arial" w:hAnsi="Arial" w:eastAsia="宋体"/>
                <w:sz w:val="21"/>
                <w:szCs w:val="21"/>
              </w:rPr>
              <w:t>submission/solution.py</w:t>
            </w:r>
          </w:p>
        </w:tc>
        <w:tc>
          <w:tcPr>
            <w:tcW w:w="5953" w:type="dxa"/>
            <w:vAlign w:val="center"/>
          </w:tcPr>
          <w:p w14:paraId="2451A715">
            <w:pPr>
              <w:spacing w:before="40" w:after="40" w:line="259" w:lineRule="auto"/>
              <w:rPr>
                <w:sz w:val="21"/>
                <w:szCs w:val="21"/>
              </w:rPr>
            </w:pPr>
            <w:r>
              <w:rPr>
                <w:rFonts w:ascii="Arial" w:hAnsi="Arial" w:eastAsia="宋体"/>
                <w:sz w:val="21"/>
                <w:szCs w:val="21"/>
              </w:rPr>
              <w:t>待学生</w:t>
            </w:r>
            <w:r>
              <w:rPr>
                <w:rFonts w:hint="eastAsia"/>
                <w:sz w:val="21"/>
                <w:szCs w:val="21"/>
                <w:lang w:val="en-US" w:eastAsia="zh-CN"/>
              </w:rPr>
              <w:t>实现</w:t>
            </w:r>
            <w:r>
              <w:rPr>
                <w:rFonts w:ascii="Arial" w:hAnsi="Arial" w:eastAsia="宋体"/>
                <w:sz w:val="21"/>
                <w:szCs w:val="21"/>
              </w:rPr>
              <w:t>的接口骨架。</w:t>
            </w:r>
          </w:p>
        </w:tc>
      </w:tr>
      <w:tr w14:paraId="7DA0B6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969" w:type="dxa"/>
            <w:vAlign w:val="center"/>
          </w:tcPr>
          <w:p w14:paraId="3D0D385E">
            <w:pPr>
              <w:spacing w:before="40" w:after="40" w:line="259" w:lineRule="auto"/>
              <w:rPr>
                <w:sz w:val="21"/>
                <w:szCs w:val="21"/>
              </w:rPr>
            </w:pPr>
            <w:r>
              <w:rPr>
                <w:rFonts w:ascii="Arial" w:hAnsi="Arial" w:eastAsia="宋体"/>
                <w:sz w:val="21"/>
                <w:szCs w:val="21"/>
              </w:rPr>
              <w:t>run_baseline.sh</w:t>
            </w:r>
            <w:r>
              <w:rPr>
                <w:rFonts w:ascii="Arial" w:hAnsi="Arial" w:eastAsia="宋体"/>
                <w:sz w:val="21"/>
                <w:szCs w:val="21"/>
              </w:rPr>
              <w:br w:type="textWrapping"/>
            </w:r>
            <w:r>
              <w:rPr>
                <w:rFonts w:ascii="Arial" w:hAnsi="Arial" w:eastAsia="宋体"/>
                <w:sz w:val="21"/>
                <w:szCs w:val="21"/>
              </w:rPr>
              <w:t>run_public_test.sh</w:t>
            </w:r>
          </w:p>
        </w:tc>
        <w:tc>
          <w:tcPr>
            <w:tcW w:w="5953" w:type="dxa"/>
            <w:vAlign w:val="center"/>
          </w:tcPr>
          <w:p w14:paraId="6D951316">
            <w:pPr>
              <w:spacing w:before="40" w:after="40" w:line="259" w:lineRule="auto"/>
              <w:rPr>
                <w:sz w:val="21"/>
                <w:szCs w:val="21"/>
              </w:rPr>
            </w:pPr>
            <w:r>
              <w:rPr>
                <w:rFonts w:ascii="Arial" w:hAnsi="Arial" w:eastAsia="宋体"/>
                <w:sz w:val="21"/>
                <w:szCs w:val="21"/>
              </w:rPr>
              <w:t>分别运行FP32基准与学生作品；自动依次测试四负载。</w:t>
            </w:r>
          </w:p>
        </w:tc>
      </w:tr>
      <w:tr w14:paraId="43F2A3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969" w:type="dxa"/>
            <w:vAlign w:val="center"/>
          </w:tcPr>
          <w:p w14:paraId="37B22B7F">
            <w:pPr>
              <w:spacing w:before="40" w:after="40" w:line="259" w:lineRule="auto"/>
              <w:rPr>
                <w:sz w:val="21"/>
                <w:szCs w:val="21"/>
              </w:rPr>
            </w:pPr>
            <w:r>
              <w:rPr>
                <w:rFonts w:ascii="Arial" w:hAnsi="Arial" w:eastAsia="宋体"/>
                <w:sz w:val="21"/>
                <w:szCs w:val="21"/>
              </w:rPr>
              <w:t>public_test.py</w:t>
            </w:r>
          </w:p>
        </w:tc>
        <w:tc>
          <w:tcPr>
            <w:tcW w:w="5953" w:type="dxa"/>
            <w:vAlign w:val="center"/>
          </w:tcPr>
          <w:p w14:paraId="3C720E30">
            <w:pPr>
              <w:spacing w:before="40" w:after="40" w:line="259" w:lineRule="auto"/>
              <w:rPr>
                <w:sz w:val="21"/>
                <w:szCs w:val="21"/>
              </w:rPr>
            </w:pPr>
            <w:r>
              <w:rPr>
                <w:rFonts w:ascii="Arial" w:hAnsi="Arial" w:eastAsia="宋体"/>
                <w:sz w:val="21"/>
                <w:szCs w:val="21"/>
              </w:rPr>
              <w:t>加载目标程序，检查输出并记录一致率和耗时，不是学生待实现代码。</w:t>
            </w:r>
          </w:p>
        </w:tc>
      </w:tr>
      <w:tr w14:paraId="54E4E3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969" w:type="dxa"/>
            <w:vAlign w:val="center"/>
          </w:tcPr>
          <w:p w14:paraId="79199F4B">
            <w:pPr>
              <w:spacing w:before="40" w:after="40" w:line="259" w:lineRule="auto"/>
              <w:rPr>
                <w:sz w:val="21"/>
                <w:szCs w:val="21"/>
              </w:rPr>
            </w:pPr>
            <w:r>
              <w:rPr>
                <w:rFonts w:ascii="Arial" w:hAnsi="Arial" w:eastAsia="宋体"/>
                <w:sz w:val="21"/>
                <w:szCs w:val="21"/>
              </w:rPr>
              <w:t>public_test_data/public_cases.json</w:t>
            </w:r>
          </w:p>
        </w:tc>
        <w:tc>
          <w:tcPr>
            <w:tcW w:w="5953" w:type="dxa"/>
            <w:vAlign w:val="center"/>
          </w:tcPr>
          <w:p w14:paraId="6FE2E342">
            <w:pPr>
              <w:spacing w:before="40" w:after="40" w:line="259" w:lineRule="auto"/>
              <w:rPr>
                <w:sz w:val="21"/>
                <w:szCs w:val="21"/>
              </w:rPr>
            </w:pPr>
            <w:r>
              <w:rPr>
                <w:rFonts w:ascii="Arial" w:hAnsi="Arial" w:eastAsia="宋体"/>
                <w:sz w:val="21"/>
                <w:szCs w:val="21"/>
              </w:rPr>
              <w:t>规定预热输入、计时输入及FP32参考结果；测试记录用于核算成绩。</w:t>
            </w:r>
          </w:p>
        </w:tc>
      </w:tr>
      <w:tr w14:paraId="07E0C0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969" w:type="dxa"/>
            <w:vAlign w:val="center"/>
          </w:tcPr>
          <w:p w14:paraId="2BBDBFD9">
            <w:pPr>
              <w:spacing w:before="40" w:after="40" w:line="259" w:lineRule="auto"/>
              <w:rPr>
                <w:sz w:val="21"/>
                <w:szCs w:val="21"/>
              </w:rPr>
            </w:pPr>
            <w:r>
              <w:rPr>
                <w:rFonts w:ascii="Arial" w:hAnsi="Arial" w:eastAsia="宋体"/>
                <w:sz w:val="21"/>
                <w:szCs w:val="21"/>
              </w:rPr>
              <w:t>check_environment.py</w:t>
            </w:r>
          </w:p>
        </w:tc>
        <w:tc>
          <w:tcPr>
            <w:tcW w:w="5953" w:type="dxa"/>
            <w:vAlign w:val="center"/>
          </w:tcPr>
          <w:p w14:paraId="1E0EECE5">
            <w:pPr>
              <w:spacing w:before="40" w:after="40" w:line="259" w:lineRule="auto"/>
              <w:rPr>
                <w:sz w:val="21"/>
                <w:szCs w:val="21"/>
              </w:rPr>
            </w:pPr>
            <w:r>
              <w:rPr>
                <w:rFonts w:ascii="Arial" w:hAnsi="Arial" w:eastAsia="宋体"/>
                <w:sz w:val="21"/>
                <w:szCs w:val="21"/>
              </w:rPr>
              <w:t>检查环境与公共模型；--full-hash校验公共权重SHA256。</w:t>
            </w:r>
          </w:p>
        </w:tc>
      </w:tr>
      <w:tr w14:paraId="4F07A9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969" w:type="dxa"/>
            <w:vAlign w:val="center"/>
          </w:tcPr>
          <w:p w14:paraId="43427317">
            <w:pPr>
              <w:spacing w:before="40" w:after="40" w:line="259" w:lineRule="auto"/>
              <w:rPr>
                <w:sz w:val="21"/>
                <w:szCs w:val="21"/>
              </w:rPr>
            </w:pPr>
            <w:r>
              <w:rPr>
                <w:rFonts w:ascii="Arial" w:hAnsi="Arial" w:eastAsia="宋体"/>
                <w:sz w:val="21"/>
                <w:szCs w:val="21"/>
              </w:rPr>
              <w:t>MODEL_SHA256.txt</w:t>
            </w:r>
            <w:r>
              <w:rPr>
                <w:rFonts w:ascii="Arial" w:hAnsi="Arial" w:eastAsia="宋体"/>
                <w:sz w:val="21"/>
                <w:szCs w:val="21"/>
              </w:rPr>
              <w:br w:type="textWrapping"/>
            </w:r>
            <w:r>
              <w:rPr>
                <w:rFonts w:ascii="Arial" w:hAnsi="Arial" w:eastAsia="宋体"/>
                <w:sz w:val="21"/>
                <w:szCs w:val="21"/>
              </w:rPr>
              <w:t>LICENSE.txt</w:t>
            </w:r>
          </w:p>
        </w:tc>
        <w:tc>
          <w:tcPr>
            <w:tcW w:w="5953" w:type="dxa"/>
            <w:vAlign w:val="center"/>
          </w:tcPr>
          <w:p w14:paraId="41E80ADE">
            <w:pPr>
              <w:spacing w:before="40" w:after="40" w:line="259" w:lineRule="auto"/>
              <w:rPr>
                <w:sz w:val="21"/>
                <w:szCs w:val="21"/>
              </w:rPr>
            </w:pPr>
            <w:r>
              <w:rPr>
                <w:rFonts w:ascii="Arial" w:hAnsi="Arial" w:eastAsia="宋体"/>
                <w:sz w:val="21"/>
                <w:szCs w:val="21"/>
              </w:rPr>
              <w:t>公共资产哈希清单与开源许可证，保留相关声明。</w:t>
            </w:r>
          </w:p>
        </w:tc>
      </w:tr>
      <w:tr w14:paraId="499800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969" w:type="dxa"/>
            <w:vAlign w:val="center"/>
          </w:tcPr>
          <w:p w14:paraId="7B7739E5">
            <w:pPr>
              <w:spacing w:before="40" w:after="40" w:line="259" w:lineRule="auto"/>
              <w:rPr>
                <w:sz w:val="21"/>
                <w:szCs w:val="21"/>
              </w:rPr>
            </w:pPr>
            <w:r>
              <w:rPr>
                <w:rFonts w:ascii="Arial" w:hAnsi="Arial" w:eastAsia="宋体"/>
                <w:sz w:val="21"/>
                <w:szCs w:val="21"/>
              </w:rPr>
              <w:t>progen2/tokenizer.json</w:t>
            </w:r>
          </w:p>
        </w:tc>
        <w:tc>
          <w:tcPr>
            <w:tcW w:w="5953" w:type="dxa"/>
            <w:vAlign w:val="center"/>
          </w:tcPr>
          <w:p w14:paraId="05BBC12D">
            <w:pPr>
              <w:spacing w:before="40" w:after="40" w:line="259" w:lineRule="auto"/>
              <w:rPr>
                <w:sz w:val="21"/>
                <w:szCs w:val="21"/>
              </w:rPr>
            </w:pPr>
            <w:r>
              <w:rPr>
                <w:rFonts w:ascii="Arial" w:hAnsi="Arial" w:eastAsia="宋体"/>
                <w:sz w:val="21"/>
                <w:szCs w:val="21"/>
              </w:rPr>
              <w:t>统一Tokenizer，定义氨基酸和控制标记到Token的映射。</w:t>
            </w:r>
          </w:p>
        </w:tc>
      </w:tr>
      <w:tr w14:paraId="63AA0E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969" w:type="dxa"/>
            <w:vAlign w:val="center"/>
          </w:tcPr>
          <w:p w14:paraId="1E84F8AD">
            <w:pPr>
              <w:spacing w:before="40" w:after="40" w:line="259" w:lineRule="auto"/>
              <w:rPr>
                <w:sz w:val="21"/>
                <w:szCs w:val="21"/>
              </w:rPr>
            </w:pPr>
            <w:r>
              <w:rPr>
                <w:rFonts w:ascii="Arial" w:hAnsi="Arial" w:eastAsia="宋体"/>
                <w:sz w:val="21"/>
                <w:szCs w:val="21"/>
              </w:rPr>
              <w:t>progen2/models/progen/</w:t>
            </w:r>
          </w:p>
        </w:tc>
        <w:tc>
          <w:tcPr>
            <w:tcW w:w="5953" w:type="dxa"/>
            <w:vAlign w:val="center"/>
          </w:tcPr>
          <w:p w14:paraId="036D549B">
            <w:pPr>
              <w:spacing w:before="40" w:after="40" w:line="259" w:lineRule="auto"/>
              <w:rPr>
                <w:sz w:val="21"/>
                <w:szCs w:val="21"/>
              </w:rPr>
            </w:pPr>
            <w:r>
              <w:rPr>
                <w:rFonts w:ascii="Arial" w:hAnsi="Arial" w:eastAsia="宋体"/>
                <w:sz w:val="21"/>
                <w:szCs w:val="21"/>
              </w:rPr>
              <w:t>模型配置类与计算实现，包括Attention、RoPE及KV机制。</w:t>
            </w:r>
          </w:p>
        </w:tc>
      </w:tr>
      <w:tr w14:paraId="2D21B9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969" w:type="dxa"/>
            <w:vAlign w:val="center"/>
          </w:tcPr>
          <w:p w14:paraId="38D7DED3">
            <w:pPr>
              <w:spacing w:before="40" w:after="40" w:line="259" w:lineRule="auto"/>
              <w:rPr>
                <w:sz w:val="21"/>
                <w:szCs w:val="21"/>
              </w:rPr>
            </w:pPr>
            <w:r>
              <w:rPr>
                <w:rFonts w:ascii="Arial" w:hAnsi="Arial" w:eastAsia="宋体"/>
                <w:sz w:val="21"/>
                <w:szCs w:val="21"/>
              </w:rPr>
              <w:t>progen2/checkpoints/progen2-medium/</w:t>
            </w:r>
          </w:p>
        </w:tc>
        <w:tc>
          <w:tcPr>
            <w:tcW w:w="5953" w:type="dxa"/>
            <w:vAlign w:val="center"/>
          </w:tcPr>
          <w:p w14:paraId="0DD9BD85">
            <w:pPr>
              <w:spacing w:before="40" w:after="40" w:line="259" w:lineRule="auto"/>
              <w:rPr>
                <w:sz w:val="21"/>
                <w:szCs w:val="21"/>
              </w:rPr>
            </w:pPr>
            <w:r>
              <w:rPr>
                <w:rFonts w:ascii="Arial" w:hAnsi="Arial" w:eastAsia="宋体"/>
                <w:sz w:val="21"/>
                <w:szCs w:val="21"/>
              </w:rPr>
              <w:t>公共config.json与pytorch_model.bin，由题目包提供，不重复提交。</w:t>
            </w:r>
          </w:p>
        </w:tc>
      </w:tr>
    </w:tbl>
    <w:p w14:paraId="3E85DE75">
      <w:pPr>
        <w:widowControl/>
        <w:spacing w:after="20"/>
      </w:pPr>
    </w:p>
    <w:p w14:paraId="01CFC411">
      <w:pPr>
        <w:widowControl/>
      </w:pPr>
      <w:r>
        <w:rPr>
          <w:b w:val="0"/>
        </w:rPr>
        <w:t>本题使用public_test_data/public_cases.json中的规定输入和FP32参考结果。各队运行题目包测试程序并提交原始记录。</w:t>
      </w:r>
    </w:p>
    <w:p w14:paraId="50AA3768">
      <w:pPr>
        <w:pStyle w:val="3"/>
        <w:pageBreakBefore/>
      </w:pPr>
      <w:r>
        <w:t>三 统一程序接口与输出要求</w:t>
      </w:r>
    </w:p>
    <w:p w14:paraId="6BB6D03B">
      <w:pPr>
        <w:widowControl/>
      </w:pPr>
      <w:r>
        <w:rPr>
          <w:b w:val="0"/>
        </w:rPr>
        <w:t>每支队伍提交一个源码目录，入口文件固定为solution.py，入口类固定为Solution。测试程序创建一个Solution对象，并通过同一个generate方法依次传入各项负载，学生不用提交四套程序。可运行基准与学生骨架分别放在baseline和submission目录中，避免混用。</w:t>
      </w:r>
    </w:p>
    <w:p w14:paraId="055AFA57">
      <w:pPr>
        <w:keepLines/>
        <w:widowControl/>
        <w:spacing w:before="40" w:after="120" w:line="252" w:lineRule="auto"/>
      </w:pPr>
      <w:r>
        <w:rPr>
          <w:rFonts w:ascii="Consolas" w:hAnsi="Consolas" w:eastAsia="宋体"/>
          <w:sz w:val="20"/>
        </w:rPr>
        <w:t>class Solution:</w:t>
      </w:r>
      <w:r>
        <w:rPr>
          <w:rFonts w:ascii="Consolas" w:hAnsi="Consolas" w:eastAsia="宋体"/>
          <w:sz w:val="20"/>
        </w:rPr>
        <w:br w:type="textWrapping"/>
      </w:r>
      <w:r>
        <w:rPr>
          <w:rFonts w:ascii="Consolas" w:hAnsi="Consolas" w:eastAsia="宋体"/>
          <w:sz w:val="20"/>
        </w:rPr>
        <w:t xml:space="preserve">    def __init__(self, model_dir: str,</w:t>
      </w:r>
      <w:r>
        <w:rPr>
          <w:rFonts w:ascii="Consolas" w:hAnsi="Consolas" w:eastAsia="宋体"/>
          <w:sz w:val="20"/>
        </w:rPr>
        <w:br w:type="textWrapping"/>
      </w:r>
      <w:r>
        <w:rPr>
          <w:rFonts w:ascii="Consolas" w:hAnsi="Consolas" w:eastAsia="宋体"/>
          <w:sz w:val="20"/>
        </w:rPr>
        <w:t xml:space="preserve">                 tokenizer_path: str,</w:t>
      </w:r>
      <w:r>
        <w:rPr>
          <w:rFonts w:ascii="Consolas" w:hAnsi="Consolas" w:eastAsia="宋体"/>
          <w:sz w:val="20"/>
        </w:rPr>
        <w:br w:type="textWrapping"/>
      </w:r>
      <w:r>
        <w:rPr>
          <w:rFonts w:ascii="Consolas" w:hAnsi="Consolas" w:eastAsia="宋体"/>
          <w:sz w:val="20"/>
        </w:rPr>
        <w:t xml:space="preserve">                 device: str = "cuda:0"):</w:t>
      </w:r>
      <w:r>
        <w:rPr>
          <w:rFonts w:ascii="Consolas" w:hAnsi="Consolas" w:eastAsia="宋体"/>
          <w:sz w:val="20"/>
        </w:rPr>
        <w:br w:type="textWrapping"/>
      </w:r>
      <w:r>
        <w:rPr>
          <w:rFonts w:ascii="Consolas" w:hAnsi="Consolas" w:eastAsia="宋体"/>
          <w:sz w:val="20"/>
        </w:rPr>
        <w:t xml:space="preserve">        ...</w:t>
      </w:r>
      <w:r>
        <w:rPr>
          <w:rFonts w:ascii="Consolas" w:hAnsi="Consolas" w:eastAsia="宋体"/>
          <w:sz w:val="20"/>
        </w:rPr>
        <w:br w:type="textWrapping"/>
      </w:r>
      <w:r>
        <w:rPr>
          <w:rFonts w:ascii="Consolas" w:hAnsi="Consolas" w:eastAsia="宋体"/>
          <w:sz w:val="20"/>
        </w:rPr>
        <w:br w:type="textWrapping"/>
      </w:r>
      <w:r>
        <w:rPr>
          <w:rFonts w:ascii="Consolas" w:hAnsi="Consolas" w:eastAsia="宋体"/>
          <w:sz w:val="20"/>
        </w:rPr>
        <w:t xml:space="preserve">    def generate(self, prefixes: list[str],</w:t>
      </w:r>
      <w:r>
        <w:rPr>
          <w:rFonts w:ascii="Consolas" w:hAnsi="Consolas" w:eastAsia="宋体"/>
          <w:sz w:val="20"/>
        </w:rPr>
        <w:br w:type="textWrapping"/>
      </w:r>
      <w:r>
        <w:rPr>
          <w:rFonts w:ascii="Consolas" w:hAnsi="Consolas" w:eastAsia="宋体"/>
          <w:sz w:val="20"/>
        </w:rPr>
        <w:t xml:space="preserve">                 max_new_tokens: int) -&gt; list[str]:</w:t>
      </w:r>
      <w:r>
        <w:rPr>
          <w:rFonts w:ascii="Consolas" w:hAnsi="Consolas" w:eastAsia="宋体"/>
          <w:sz w:val="20"/>
        </w:rPr>
        <w:br w:type="textWrapping"/>
      </w:r>
      <w:r>
        <w:rPr>
          <w:rFonts w:ascii="Consolas" w:hAnsi="Consolas" w:eastAsia="宋体"/>
          <w:sz w:val="20"/>
        </w:rPr>
        <w:t xml:space="preserve">        ...</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51"/>
        <w:gridCol w:w="7370"/>
      </w:tblGrid>
      <w:tr w14:paraId="3CC768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2551" w:type="dxa"/>
            <w:shd w:val="clear" w:color="auto" w:fill="E8EDF2"/>
            <w:tcMar>
              <w:top w:w="65" w:type="dxa"/>
              <w:left w:w="85" w:type="dxa"/>
              <w:bottom w:w="65" w:type="dxa"/>
              <w:right w:w="85" w:type="dxa"/>
            </w:tcMar>
            <w:vAlign w:val="center"/>
          </w:tcPr>
          <w:p w14:paraId="60695109">
            <w:pPr>
              <w:spacing w:before="20" w:after="20" w:line="264" w:lineRule="auto"/>
              <w:jc w:val="center"/>
              <w:rPr>
                <w:sz w:val="21"/>
                <w:szCs w:val="21"/>
              </w:rPr>
            </w:pPr>
            <w:r>
              <w:rPr>
                <w:b/>
                <w:sz w:val="21"/>
                <w:szCs w:val="21"/>
              </w:rPr>
              <w:t>参数或返回值</w:t>
            </w:r>
          </w:p>
        </w:tc>
        <w:tc>
          <w:tcPr>
            <w:tcW w:w="7370" w:type="dxa"/>
            <w:shd w:val="clear" w:color="auto" w:fill="E8EDF2"/>
            <w:tcMar>
              <w:top w:w="65" w:type="dxa"/>
              <w:left w:w="85" w:type="dxa"/>
              <w:bottom w:w="65" w:type="dxa"/>
              <w:right w:w="85" w:type="dxa"/>
            </w:tcMar>
            <w:vAlign w:val="center"/>
          </w:tcPr>
          <w:p w14:paraId="18F502EF">
            <w:pPr>
              <w:spacing w:before="20" w:after="20" w:line="264" w:lineRule="auto"/>
              <w:jc w:val="center"/>
              <w:rPr>
                <w:sz w:val="21"/>
                <w:szCs w:val="21"/>
              </w:rPr>
            </w:pPr>
            <w:r>
              <w:rPr>
                <w:b/>
                <w:sz w:val="21"/>
                <w:szCs w:val="21"/>
              </w:rPr>
              <w:t>含义</w:t>
            </w:r>
          </w:p>
        </w:tc>
      </w:tr>
      <w:tr w14:paraId="57CFA1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65" w:type="dxa"/>
              <w:left w:w="85" w:type="dxa"/>
              <w:bottom w:w="65" w:type="dxa"/>
              <w:right w:w="85" w:type="dxa"/>
            </w:tcMar>
            <w:vAlign w:val="center"/>
          </w:tcPr>
          <w:p w14:paraId="18B0DCE8">
            <w:pPr>
              <w:spacing w:before="20" w:after="20" w:line="264" w:lineRule="auto"/>
              <w:jc w:val="left"/>
              <w:rPr>
                <w:sz w:val="21"/>
                <w:szCs w:val="21"/>
              </w:rPr>
            </w:pPr>
            <w:r>
              <w:rPr>
                <w:b w:val="0"/>
                <w:sz w:val="21"/>
                <w:szCs w:val="21"/>
              </w:rPr>
              <w:t>model_dir</w:t>
            </w:r>
          </w:p>
        </w:tc>
        <w:tc>
          <w:tcPr>
            <w:tcW w:w="7370" w:type="dxa"/>
            <w:shd w:val="clear" w:color="auto" w:fill="FFFFFF"/>
            <w:tcMar>
              <w:top w:w="65" w:type="dxa"/>
              <w:left w:w="85" w:type="dxa"/>
              <w:bottom w:w="65" w:type="dxa"/>
              <w:right w:w="85" w:type="dxa"/>
            </w:tcMar>
            <w:vAlign w:val="center"/>
          </w:tcPr>
          <w:p w14:paraId="67785B5D">
            <w:pPr>
              <w:spacing w:before="20" w:after="20" w:line="264" w:lineRule="auto"/>
              <w:jc w:val="left"/>
              <w:rPr>
                <w:sz w:val="21"/>
                <w:szCs w:val="21"/>
              </w:rPr>
            </w:pPr>
            <w:r>
              <w:rPr>
                <w:b w:val="0"/>
                <w:sz w:val="21"/>
                <w:szCs w:val="21"/>
              </w:rPr>
              <w:t>评测程序传入的公共ProGen2-medium权重目录。</w:t>
            </w:r>
          </w:p>
        </w:tc>
      </w:tr>
      <w:tr w14:paraId="1A0C52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65" w:type="dxa"/>
              <w:left w:w="85" w:type="dxa"/>
              <w:bottom w:w="65" w:type="dxa"/>
              <w:right w:w="85" w:type="dxa"/>
            </w:tcMar>
            <w:vAlign w:val="center"/>
          </w:tcPr>
          <w:p w14:paraId="4C3614F3">
            <w:pPr>
              <w:spacing w:before="20" w:after="20" w:line="264" w:lineRule="auto"/>
              <w:jc w:val="left"/>
              <w:rPr>
                <w:sz w:val="21"/>
                <w:szCs w:val="21"/>
              </w:rPr>
            </w:pPr>
            <w:r>
              <w:rPr>
                <w:b w:val="0"/>
                <w:sz w:val="21"/>
                <w:szCs w:val="21"/>
              </w:rPr>
              <w:t>tokenizer_path</w:t>
            </w:r>
          </w:p>
        </w:tc>
        <w:tc>
          <w:tcPr>
            <w:tcW w:w="7370" w:type="dxa"/>
            <w:shd w:val="clear" w:color="auto" w:fill="FFFFFF"/>
            <w:tcMar>
              <w:top w:w="65" w:type="dxa"/>
              <w:left w:w="85" w:type="dxa"/>
              <w:bottom w:w="65" w:type="dxa"/>
              <w:right w:w="85" w:type="dxa"/>
            </w:tcMar>
            <w:vAlign w:val="center"/>
          </w:tcPr>
          <w:p w14:paraId="402C0C1E">
            <w:pPr>
              <w:spacing w:before="20" w:after="20" w:line="264" w:lineRule="auto"/>
              <w:jc w:val="left"/>
              <w:rPr>
                <w:sz w:val="21"/>
                <w:szCs w:val="21"/>
              </w:rPr>
            </w:pPr>
            <w:r>
              <w:rPr>
                <w:b w:val="0"/>
                <w:sz w:val="21"/>
                <w:szCs w:val="21"/>
              </w:rPr>
              <w:t>评测程序传入的公共tokenizer.json路径。</w:t>
            </w:r>
          </w:p>
        </w:tc>
      </w:tr>
      <w:tr w14:paraId="505250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65" w:type="dxa"/>
              <w:left w:w="85" w:type="dxa"/>
              <w:bottom w:w="65" w:type="dxa"/>
              <w:right w:w="85" w:type="dxa"/>
            </w:tcMar>
            <w:vAlign w:val="center"/>
          </w:tcPr>
          <w:p w14:paraId="5A0447DF">
            <w:pPr>
              <w:spacing w:before="20" w:after="20" w:line="264" w:lineRule="auto"/>
              <w:jc w:val="left"/>
              <w:rPr>
                <w:sz w:val="21"/>
                <w:szCs w:val="21"/>
              </w:rPr>
            </w:pPr>
            <w:r>
              <w:rPr>
                <w:b w:val="0"/>
                <w:sz w:val="21"/>
                <w:szCs w:val="21"/>
              </w:rPr>
              <w:t>device</w:t>
            </w:r>
          </w:p>
        </w:tc>
        <w:tc>
          <w:tcPr>
            <w:tcW w:w="7370" w:type="dxa"/>
            <w:shd w:val="clear" w:color="auto" w:fill="FFFFFF"/>
            <w:tcMar>
              <w:top w:w="65" w:type="dxa"/>
              <w:left w:w="85" w:type="dxa"/>
              <w:bottom w:w="65" w:type="dxa"/>
              <w:right w:w="85" w:type="dxa"/>
            </w:tcMar>
            <w:vAlign w:val="center"/>
          </w:tcPr>
          <w:p w14:paraId="248D5598">
            <w:pPr>
              <w:spacing w:before="20" w:after="20" w:line="264" w:lineRule="auto"/>
              <w:jc w:val="left"/>
              <w:rPr>
                <w:sz w:val="21"/>
                <w:szCs w:val="21"/>
              </w:rPr>
            </w:pPr>
            <w:r>
              <w:rPr>
                <w:b w:val="0"/>
                <w:sz w:val="21"/>
                <w:szCs w:val="21"/>
              </w:rPr>
              <w:t>评测指定设备。HIP版PyTorch沿用cuda:0名称，该名称不表示使用NVIDIA硬件。</w:t>
            </w:r>
          </w:p>
        </w:tc>
      </w:tr>
      <w:tr w14:paraId="0A1799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65" w:type="dxa"/>
              <w:left w:w="85" w:type="dxa"/>
              <w:bottom w:w="65" w:type="dxa"/>
              <w:right w:w="85" w:type="dxa"/>
            </w:tcMar>
            <w:vAlign w:val="center"/>
          </w:tcPr>
          <w:p w14:paraId="0F660C9C">
            <w:pPr>
              <w:spacing w:before="20" w:after="20" w:line="264" w:lineRule="auto"/>
              <w:jc w:val="left"/>
              <w:rPr>
                <w:sz w:val="21"/>
                <w:szCs w:val="21"/>
              </w:rPr>
            </w:pPr>
            <w:r>
              <w:rPr>
                <w:b w:val="0"/>
                <w:sz w:val="21"/>
                <w:szCs w:val="21"/>
              </w:rPr>
              <w:t>prefixes</w:t>
            </w:r>
          </w:p>
        </w:tc>
        <w:tc>
          <w:tcPr>
            <w:tcW w:w="7370" w:type="dxa"/>
            <w:shd w:val="clear" w:color="auto" w:fill="FFFFFF"/>
            <w:tcMar>
              <w:top w:w="65" w:type="dxa"/>
              <w:left w:w="85" w:type="dxa"/>
              <w:bottom w:w="65" w:type="dxa"/>
              <w:right w:w="85" w:type="dxa"/>
            </w:tcMar>
            <w:vAlign w:val="center"/>
          </w:tcPr>
          <w:p w14:paraId="65BCB980">
            <w:pPr>
              <w:spacing w:before="20" w:after="20" w:line="264" w:lineRule="auto"/>
              <w:jc w:val="left"/>
              <w:rPr>
                <w:sz w:val="21"/>
                <w:szCs w:val="21"/>
              </w:rPr>
            </w:pPr>
            <w:r>
              <w:rPr>
                <w:b w:val="0"/>
                <w:sz w:val="21"/>
                <w:szCs w:val="21"/>
              </w:rPr>
              <w:t>本次输入前缀的字符串列表，列表长度就是Batch Size。</w:t>
            </w:r>
          </w:p>
        </w:tc>
      </w:tr>
      <w:tr w14:paraId="212855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65" w:type="dxa"/>
              <w:left w:w="85" w:type="dxa"/>
              <w:bottom w:w="65" w:type="dxa"/>
              <w:right w:w="85" w:type="dxa"/>
            </w:tcMar>
            <w:vAlign w:val="center"/>
          </w:tcPr>
          <w:p w14:paraId="7A585839">
            <w:pPr>
              <w:spacing w:before="20" w:after="20" w:line="264" w:lineRule="auto"/>
              <w:jc w:val="left"/>
              <w:rPr>
                <w:sz w:val="21"/>
                <w:szCs w:val="21"/>
              </w:rPr>
            </w:pPr>
            <w:r>
              <w:rPr>
                <w:b w:val="0"/>
                <w:sz w:val="21"/>
                <w:szCs w:val="21"/>
              </w:rPr>
              <w:t>max_new_tokens</w:t>
            </w:r>
          </w:p>
        </w:tc>
        <w:tc>
          <w:tcPr>
            <w:tcW w:w="7370" w:type="dxa"/>
            <w:shd w:val="clear" w:color="auto" w:fill="FFFFFF"/>
            <w:tcMar>
              <w:top w:w="65" w:type="dxa"/>
              <w:left w:w="85" w:type="dxa"/>
              <w:bottom w:w="65" w:type="dxa"/>
              <w:right w:w="85" w:type="dxa"/>
            </w:tcMar>
            <w:vAlign w:val="center"/>
          </w:tcPr>
          <w:p w14:paraId="0D330505">
            <w:pPr>
              <w:spacing w:before="20" w:after="20" w:line="264" w:lineRule="auto"/>
              <w:jc w:val="left"/>
              <w:rPr>
                <w:sz w:val="21"/>
                <w:szCs w:val="21"/>
              </w:rPr>
            </w:pPr>
            <w:r>
              <w:rPr>
                <w:b w:val="0"/>
                <w:sz w:val="21"/>
                <w:szCs w:val="21"/>
              </w:rPr>
              <w:t>每条输入必须继续生成的氨基酸字母数量。</w:t>
            </w:r>
          </w:p>
        </w:tc>
      </w:tr>
      <w:tr w14:paraId="56E9DC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551" w:type="dxa"/>
            <w:shd w:val="clear" w:color="auto" w:fill="FFFFFF"/>
            <w:tcMar>
              <w:top w:w="65" w:type="dxa"/>
              <w:left w:w="85" w:type="dxa"/>
              <w:bottom w:w="65" w:type="dxa"/>
              <w:right w:w="85" w:type="dxa"/>
            </w:tcMar>
            <w:vAlign w:val="center"/>
          </w:tcPr>
          <w:p w14:paraId="6748613A">
            <w:pPr>
              <w:spacing w:before="20" w:after="20" w:line="264" w:lineRule="auto"/>
              <w:jc w:val="left"/>
              <w:rPr>
                <w:sz w:val="21"/>
                <w:szCs w:val="21"/>
              </w:rPr>
            </w:pPr>
            <w:r>
              <w:rPr>
                <w:b w:val="0"/>
                <w:sz w:val="21"/>
                <w:szCs w:val="21"/>
              </w:rPr>
              <w:t>返回list[str]</w:t>
            </w:r>
          </w:p>
        </w:tc>
        <w:tc>
          <w:tcPr>
            <w:tcW w:w="7370" w:type="dxa"/>
            <w:shd w:val="clear" w:color="auto" w:fill="FFFFFF"/>
            <w:tcMar>
              <w:top w:w="65" w:type="dxa"/>
              <w:left w:w="85" w:type="dxa"/>
              <w:bottom w:w="65" w:type="dxa"/>
              <w:right w:w="85" w:type="dxa"/>
            </w:tcMar>
            <w:vAlign w:val="center"/>
          </w:tcPr>
          <w:p w14:paraId="71C9B23A">
            <w:pPr>
              <w:spacing w:before="20" w:after="20" w:line="264" w:lineRule="auto"/>
              <w:jc w:val="left"/>
              <w:rPr>
                <w:sz w:val="21"/>
                <w:szCs w:val="21"/>
              </w:rPr>
            </w:pPr>
            <w:r>
              <w:rPr>
                <w:b w:val="0"/>
                <w:sz w:val="21"/>
                <w:szCs w:val="21"/>
              </w:rPr>
              <w:t>与输入一一对应的新生成后缀列表，顺序必须一致。</w:t>
            </w:r>
          </w:p>
        </w:tc>
      </w:tr>
    </w:tbl>
    <w:p w14:paraId="74D29454">
      <w:pPr>
        <w:widowControl/>
        <w:spacing w:after="20"/>
      </w:pPr>
    </w:p>
    <w:p w14:paraId="7A61C3C1">
      <w:pPr>
        <w:pStyle w:val="4"/>
      </w:pPr>
      <w:r>
        <w:t>必须遵守的接口要求</w:t>
      </w:r>
    </w:p>
    <w:p w14:paraId="3AD41740">
      <w:pPr>
        <w:widowControl/>
        <w:spacing w:after="100"/>
        <w:ind w:left="204" w:hanging="204"/>
      </w:pPr>
      <w:r>
        <w:rPr>
          <w:b w:val="0"/>
        </w:rPr>
        <w:t>1. 每次返回条数等于输入条数；每条仅返回新生成后缀，不包含输入前缀。</w:t>
      </w:r>
    </w:p>
    <w:p w14:paraId="1D616374">
      <w:pPr>
        <w:widowControl/>
        <w:spacing w:after="100"/>
        <w:ind w:left="204" w:hanging="204"/>
      </w:pPr>
      <w:r>
        <w:rPr>
          <w:b w:val="0"/>
        </w:rPr>
        <w:t>2. 每条后缀长度恰好等于max_new_tokens，不能少生成、提前结束或额外添加字符。</w:t>
      </w:r>
    </w:p>
    <w:p w14:paraId="2F141ACC">
      <w:pPr>
        <w:widowControl/>
        <w:spacing w:after="100"/>
        <w:ind w:left="204" w:hanging="204"/>
      </w:pPr>
      <w:r>
        <w:rPr>
          <w:b w:val="0"/>
        </w:rPr>
        <w:t>3. 返回字符串只能包含20种大写标准氨基酸字母：ACDEFGHIKLMNPQRSTVWY。不能返回数字、空格、换行或FASTA标题。</w:t>
      </w:r>
    </w:p>
    <w:p w14:paraId="74C56C79">
      <w:pPr>
        <w:widowControl/>
        <w:spacing w:after="100"/>
        <w:ind w:left="204" w:hanging="204"/>
      </w:pPr>
      <w:r>
        <w:rPr>
          <w:b w:val="0"/>
        </w:rPr>
        <w:t>4. 输入开头的1或2是ProGen控制标记，属于前缀内容，不得删除或替换；它们不属于输出字母。</w:t>
      </w:r>
    </w:p>
    <w:p w14:paraId="1A04FE21">
      <w:pPr>
        <w:widowControl/>
        <w:spacing w:after="100"/>
        <w:ind w:left="204" w:hanging="204"/>
      </w:pPr>
      <w:r>
        <w:rPr>
          <w:b w:val="0"/>
        </w:rPr>
        <w:t>5. 使用传入的公共资产路径和设备，不得写死个人账号、机器路径或读取未声明的文件。</w:t>
      </w:r>
    </w:p>
    <w:p w14:paraId="5FA925A2">
      <w:pPr>
        <w:widowControl/>
      </w:pPr>
      <w:r>
        <w:rPr>
          <w:b w:val="0"/>
        </w:rPr>
        <w:t>reset()为可选方法。若提供，测试程序在每次预热和计时调用前执行它，用于清除上一请求的输入相关状态；即使未提供reset()，generate仍须保证每次请求独立。</w:t>
      </w:r>
    </w:p>
    <w:p w14:paraId="05F3AB65">
      <w:pPr>
        <w:pStyle w:val="3"/>
        <w:pageBreakBefore/>
      </w:pPr>
      <w:r>
        <w:t>四 四种规定测试任务</w:t>
      </w:r>
    </w:p>
    <w:p w14:paraId="18D8B506">
      <w:pPr>
        <w:widowControl/>
      </w:pPr>
      <w:r>
        <w:rPr>
          <w:b w:val="0"/>
        </w:rPr>
        <w:t>测试任务（负载）指一次完整的生成任务。B为一次接口调用接收的输入条数；L为每条前缀经统一Tokenizer编码后的Token长度；G为每条输入需要继续生成的新字母数量。L包含输入控制标记，不能把L直接当作Python字符串长度。</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17"/>
        <w:gridCol w:w="397"/>
        <w:gridCol w:w="510"/>
        <w:gridCol w:w="510"/>
        <w:gridCol w:w="1304"/>
        <w:gridCol w:w="5783"/>
      </w:tblGrid>
      <w:tr w14:paraId="4D4A08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417" w:type="dxa"/>
            <w:shd w:val="clear" w:color="auto" w:fill="E8EDF2"/>
            <w:tcMar>
              <w:top w:w="65" w:type="dxa"/>
              <w:left w:w="85" w:type="dxa"/>
              <w:bottom w:w="65" w:type="dxa"/>
              <w:right w:w="85" w:type="dxa"/>
            </w:tcMar>
            <w:vAlign w:val="center"/>
          </w:tcPr>
          <w:p w14:paraId="7BCB1CA0">
            <w:pPr>
              <w:spacing w:before="20" w:after="20" w:line="264" w:lineRule="auto"/>
              <w:jc w:val="center"/>
            </w:pPr>
            <w:r>
              <w:rPr>
                <w:b/>
                <w:sz w:val="20"/>
              </w:rPr>
              <w:t>负载</w:t>
            </w:r>
          </w:p>
        </w:tc>
        <w:tc>
          <w:tcPr>
            <w:tcW w:w="397" w:type="dxa"/>
            <w:shd w:val="clear" w:color="auto" w:fill="E8EDF2"/>
            <w:tcMar>
              <w:top w:w="65" w:type="dxa"/>
              <w:left w:w="85" w:type="dxa"/>
              <w:bottom w:w="65" w:type="dxa"/>
              <w:right w:w="85" w:type="dxa"/>
            </w:tcMar>
            <w:vAlign w:val="center"/>
          </w:tcPr>
          <w:p w14:paraId="32809150">
            <w:pPr>
              <w:spacing w:before="20" w:after="20" w:line="264" w:lineRule="auto"/>
              <w:jc w:val="center"/>
            </w:pPr>
            <w:r>
              <w:rPr>
                <w:b/>
                <w:sz w:val="20"/>
              </w:rPr>
              <w:t>B</w:t>
            </w:r>
          </w:p>
        </w:tc>
        <w:tc>
          <w:tcPr>
            <w:tcW w:w="510" w:type="dxa"/>
            <w:shd w:val="clear" w:color="auto" w:fill="E8EDF2"/>
            <w:tcMar>
              <w:top w:w="65" w:type="dxa"/>
              <w:left w:w="85" w:type="dxa"/>
              <w:bottom w:w="65" w:type="dxa"/>
              <w:right w:w="85" w:type="dxa"/>
            </w:tcMar>
            <w:vAlign w:val="center"/>
          </w:tcPr>
          <w:p w14:paraId="3540942F">
            <w:pPr>
              <w:spacing w:before="20" w:after="20" w:line="264" w:lineRule="auto"/>
              <w:jc w:val="center"/>
            </w:pPr>
            <w:r>
              <w:rPr>
                <w:b/>
                <w:sz w:val="20"/>
              </w:rPr>
              <w:t>L</w:t>
            </w:r>
          </w:p>
        </w:tc>
        <w:tc>
          <w:tcPr>
            <w:tcW w:w="510" w:type="dxa"/>
            <w:shd w:val="clear" w:color="auto" w:fill="E8EDF2"/>
            <w:tcMar>
              <w:top w:w="65" w:type="dxa"/>
              <w:left w:w="85" w:type="dxa"/>
              <w:bottom w:w="65" w:type="dxa"/>
              <w:right w:w="85" w:type="dxa"/>
            </w:tcMar>
            <w:vAlign w:val="center"/>
          </w:tcPr>
          <w:p w14:paraId="12C62FF9">
            <w:pPr>
              <w:spacing w:before="20" w:after="20" w:line="264" w:lineRule="auto"/>
              <w:jc w:val="center"/>
            </w:pPr>
            <w:r>
              <w:rPr>
                <w:b/>
                <w:sz w:val="20"/>
              </w:rPr>
              <w:t>G</w:t>
            </w:r>
          </w:p>
        </w:tc>
        <w:tc>
          <w:tcPr>
            <w:tcW w:w="1304" w:type="dxa"/>
            <w:shd w:val="clear" w:color="auto" w:fill="E8EDF2"/>
            <w:tcMar>
              <w:top w:w="65" w:type="dxa"/>
              <w:left w:w="85" w:type="dxa"/>
              <w:bottom w:w="65" w:type="dxa"/>
              <w:right w:w="85" w:type="dxa"/>
            </w:tcMar>
            <w:vAlign w:val="center"/>
          </w:tcPr>
          <w:p w14:paraId="4BD529CA">
            <w:pPr>
              <w:spacing w:before="20" w:after="20" w:line="264" w:lineRule="auto"/>
              <w:jc w:val="center"/>
            </w:pPr>
            <w:r>
              <w:rPr>
                <w:b/>
                <w:sz w:val="20"/>
              </w:rPr>
              <w:t>比较位置数</w:t>
            </w:r>
          </w:p>
        </w:tc>
        <w:tc>
          <w:tcPr>
            <w:tcW w:w="5783" w:type="dxa"/>
            <w:shd w:val="clear" w:color="auto" w:fill="E8EDF2"/>
            <w:tcMar>
              <w:top w:w="65" w:type="dxa"/>
              <w:left w:w="85" w:type="dxa"/>
              <w:bottom w:w="65" w:type="dxa"/>
              <w:right w:w="85" w:type="dxa"/>
            </w:tcMar>
            <w:vAlign w:val="center"/>
          </w:tcPr>
          <w:p w14:paraId="513698C5">
            <w:pPr>
              <w:spacing w:before="20" w:after="20" w:line="264" w:lineRule="auto"/>
              <w:jc w:val="center"/>
            </w:pPr>
            <w:r>
              <w:rPr>
                <w:b/>
                <w:sz w:val="20"/>
              </w:rPr>
              <w:t>主要考查内容</w:t>
            </w:r>
          </w:p>
        </w:tc>
      </w:tr>
      <w:tr w14:paraId="745408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shd w:val="clear" w:color="auto" w:fill="FFFFFF"/>
            <w:tcMar>
              <w:top w:w="65" w:type="dxa"/>
              <w:left w:w="85" w:type="dxa"/>
              <w:bottom w:w="65" w:type="dxa"/>
              <w:right w:w="85" w:type="dxa"/>
            </w:tcMar>
            <w:vAlign w:val="center"/>
          </w:tcPr>
          <w:p w14:paraId="1FC3183F">
            <w:pPr>
              <w:spacing w:before="20" w:after="20" w:line="264" w:lineRule="auto"/>
              <w:jc w:val="center"/>
            </w:pPr>
            <w:r>
              <w:rPr>
                <w:b w:val="0"/>
                <w:sz w:val="20"/>
              </w:rPr>
              <w:t>1 单条生成</w:t>
            </w:r>
          </w:p>
        </w:tc>
        <w:tc>
          <w:tcPr>
            <w:tcW w:w="397" w:type="dxa"/>
            <w:shd w:val="clear" w:color="auto" w:fill="FFFFFF"/>
            <w:tcMar>
              <w:top w:w="65" w:type="dxa"/>
              <w:left w:w="85" w:type="dxa"/>
              <w:bottom w:w="65" w:type="dxa"/>
              <w:right w:w="85" w:type="dxa"/>
            </w:tcMar>
            <w:vAlign w:val="center"/>
          </w:tcPr>
          <w:p w14:paraId="1473324E">
            <w:pPr>
              <w:spacing w:before="20" w:after="20" w:line="264" w:lineRule="auto"/>
              <w:jc w:val="center"/>
            </w:pPr>
            <w:r>
              <w:rPr>
                <w:b w:val="0"/>
                <w:sz w:val="20"/>
              </w:rPr>
              <w:t>1</w:t>
            </w:r>
          </w:p>
        </w:tc>
        <w:tc>
          <w:tcPr>
            <w:tcW w:w="510" w:type="dxa"/>
            <w:shd w:val="clear" w:color="auto" w:fill="FFFFFF"/>
            <w:tcMar>
              <w:top w:w="65" w:type="dxa"/>
              <w:left w:w="85" w:type="dxa"/>
              <w:bottom w:w="65" w:type="dxa"/>
              <w:right w:w="85" w:type="dxa"/>
            </w:tcMar>
            <w:vAlign w:val="center"/>
          </w:tcPr>
          <w:p w14:paraId="3CE8DC45">
            <w:pPr>
              <w:spacing w:before="20" w:after="20" w:line="264" w:lineRule="auto"/>
              <w:jc w:val="center"/>
            </w:pPr>
            <w:r>
              <w:rPr>
                <w:b w:val="0"/>
                <w:sz w:val="20"/>
              </w:rPr>
              <w:t>32</w:t>
            </w:r>
          </w:p>
        </w:tc>
        <w:tc>
          <w:tcPr>
            <w:tcW w:w="510" w:type="dxa"/>
            <w:shd w:val="clear" w:color="auto" w:fill="FFFFFF"/>
            <w:tcMar>
              <w:top w:w="65" w:type="dxa"/>
              <w:left w:w="85" w:type="dxa"/>
              <w:bottom w:w="65" w:type="dxa"/>
              <w:right w:w="85" w:type="dxa"/>
            </w:tcMar>
            <w:vAlign w:val="center"/>
          </w:tcPr>
          <w:p w14:paraId="77B66A7C">
            <w:pPr>
              <w:spacing w:before="20" w:after="20" w:line="264" w:lineRule="auto"/>
              <w:jc w:val="center"/>
            </w:pPr>
            <w:r>
              <w:rPr>
                <w:b w:val="0"/>
                <w:sz w:val="20"/>
              </w:rPr>
              <w:t>256</w:t>
            </w:r>
          </w:p>
        </w:tc>
        <w:tc>
          <w:tcPr>
            <w:tcW w:w="1304" w:type="dxa"/>
            <w:shd w:val="clear" w:color="auto" w:fill="FFFFFF"/>
            <w:tcMar>
              <w:top w:w="65" w:type="dxa"/>
              <w:left w:w="85" w:type="dxa"/>
              <w:bottom w:w="65" w:type="dxa"/>
              <w:right w:w="85" w:type="dxa"/>
            </w:tcMar>
            <w:vAlign w:val="center"/>
          </w:tcPr>
          <w:p w14:paraId="34BBC1C4">
            <w:pPr>
              <w:spacing w:before="20" w:after="20" w:line="264" w:lineRule="auto"/>
              <w:jc w:val="center"/>
            </w:pPr>
            <w:r>
              <w:rPr>
                <w:b w:val="0"/>
                <w:sz w:val="20"/>
              </w:rPr>
              <w:t>256</w:t>
            </w:r>
          </w:p>
        </w:tc>
        <w:tc>
          <w:tcPr>
            <w:tcW w:w="5783" w:type="dxa"/>
            <w:shd w:val="clear" w:color="auto" w:fill="FFFFFF"/>
            <w:tcMar>
              <w:top w:w="65" w:type="dxa"/>
              <w:left w:w="85" w:type="dxa"/>
              <w:bottom w:w="65" w:type="dxa"/>
              <w:right w:w="85" w:type="dxa"/>
            </w:tcMar>
            <w:vAlign w:val="center"/>
          </w:tcPr>
          <w:p w14:paraId="616F215C">
            <w:pPr>
              <w:spacing w:before="20" w:after="20" w:line="264" w:lineRule="auto"/>
              <w:jc w:val="center"/>
            </w:pPr>
            <w:r>
              <w:rPr>
                <w:b w:val="0"/>
                <w:sz w:val="20"/>
              </w:rPr>
              <w:t>单请求延迟和生成流程</w:t>
            </w:r>
          </w:p>
        </w:tc>
      </w:tr>
      <w:tr w14:paraId="4E176C0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shd w:val="clear" w:color="auto" w:fill="FFFFFF"/>
            <w:tcMar>
              <w:top w:w="65" w:type="dxa"/>
              <w:left w:w="85" w:type="dxa"/>
              <w:bottom w:w="65" w:type="dxa"/>
              <w:right w:w="85" w:type="dxa"/>
            </w:tcMar>
            <w:vAlign w:val="center"/>
          </w:tcPr>
          <w:p w14:paraId="20DABC0E">
            <w:pPr>
              <w:spacing w:before="20" w:after="20" w:line="264" w:lineRule="auto"/>
              <w:jc w:val="center"/>
            </w:pPr>
            <w:r>
              <w:rPr>
                <w:b w:val="0"/>
                <w:sz w:val="20"/>
              </w:rPr>
              <w:t>2 多条生成</w:t>
            </w:r>
          </w:p>
        </w:tc>
        <w:tc>
          <w:tcPr>
            <w:tcW w:w="397" w:type="dxa"/>
            <w:shd w:val="clear" w:color="auto" w:fill="FFFFFF"/>
            <w:tcMar>
              <w:top w:w="65" w:type="dxa"/>
              <w:left w:w="85" w:type="dxa"/>
              <w:bottom w:w="65" w:type="dxa"/>
              <w:right w:w="85" w:type="dxa"/>
            </w:tcMar>
            <w:vAlign w:val="center"/>
          </w:tcPr>
          <w:p w14:paraId="0866C862">
            <w:pPr>
              <w:spacing w:before="20" w:after="20" w:line="264" w:lineRule="auto"/>
              <w:jc w:val="center"/>
            </w:pPr>
            <w:r>
              <w:rPr>
                <w:b w:val="0"/>
                <w:sz w:val="20"/>
              </w:rPr>
              <w:t>8</w:t>
            </w:r>
          </w:p>
        </w:tc>
        <w:tc>
          <w:tcPr>
            <w:tcW w:w="510" w:type="dxa"/>
            <w:shd w:val="clear" w:color="auto" w:fill="FFFFFF"/>
            <w:tcMar>
              <w:top w:w="65" w:type="dxa"/>
              <w:left w:w="85" w:type="dxa"/>
              <w:bottom w:w="65" w:type="dxa"/>
              <w:right w:w="85" w:type="dxa"/>
            </w:tcMar>
            <w:vAlign w:val="center"/>
          </w:tcPr>
          <w:p w14:paraId="5FA4E6E3">
            <w:pPr>
              <w:spacing w:before="20" w:after="20" w:line="264" w:lineRule="auto"/>
              <w:jc w:val="center"/>
            </w:pPr>
            <w:r>
              <w:rPr>
                <w:b w:val="0"/>
                <w:sz w:val="20"/>
              </w:rPr>
              <w:t>32</w:t>
            </w:r>
          </w:p>
        </w:tc>
        <w:tc>
          <w:tcPr>
            <w:tcW w:w="510" w:type="dxa"/>
            <w:shd w:val="clear" w:color="auto" w:fill="FFFFFF"/>
            <w:tcMar>
              <w:top w:w="65" w:type="dxa"/>
              <w:left w:w="85" w:type="dxa"/>
              <w:bottom w:w="65" w:type="dxa"/>
              <w:right w:w="85" w:type="dxa"/>
            </w:tcMar>
            <w:vAlign w:val="center"/>
          </w:tcPr>
          <w:p w14:paraId="77E53D34">
            <w:pPr>
              <w:spacing w:before="20" w:after="20" w:line="264" w:lineRule="auto"/>
              <w:jc w:val="center"/>
            </w:pPr>
            <w:r>
              <w:rPr>
                <w:b w:val="0"/>
                <w:sz w:val="20"/>
              </w:rPr>
              <w:t>256</w:t>
            </w:r>
          </w:p>
        </w:tc>
        <w:tc>
          <w:tcPr>
            <w:tcW w:w="1304" w:type="dxa"/>
            <w:shd w:val="clear" w:color="auto" w:fill="FFFFFF"/>
            <w:tcMar>
              <w:top w:w="65" w:type="dxa"/>
              <w:left w:w="85" w:type="dxa"/>
              <w:bottom w:w="65" w:type="dxa"/>
              <w:right w:w="85" w:type="dxa"/>
            </w:tcMar>
            <w:vAlign w:val="center"/>
          </w:tcPr>
          <w:p w14:paraId="01544936">
            <w:pPr>
              <w:spacing w:before="20" w:after="20" w:line="264" w:lineRule="auto"/>
              <w:jc w:val="center"/>
            </w:pPr>
            <w:r>
              <w:rPr>
                <w:b w:val="0"/>
                <w:sz w:val="20"/>
              </w:rPr>
              <w:t>2048</w:t>
            </w:r>
          </w:p>
        </w:tc>
        <w:tc>
          <w:tcPr>
            <w:tcW w:w="5783" w:type="dxa"/>
            <w:shd w:val="clear" w:color="auto" w:fill="FFFFFF"/>
            <w:tcMar>
              <w:top w:w="65" w:type="dxa"/>
              <w:left w:w="85" w:type="dxa"/>
              <w:bottom w:w="65" w:type="dxa"/>
              <w:right w:w="85" w:type="dxa"/>
            </w:tcMar>
            <w:vAlign w:val="center"/>
          </w:tcPr>
          <w:p w14:paraId="1320EB00">
            <w:pPr>
              <w:spacing w:before="20" w:after="20" w:line="264" w:lineRule="auto"/>
              <w:jc w:val="center"/>
            </w:pPr>
            <w:r>
              <w:rPr>
                <w:b w:val="0"/>
                <w:sz w:val="20"/>
              </w:rPr>
              <w:t>批量推理效率与显存管理</w:t>
            </w:r>
          </w:p>
        </w:tc>
      </w:tr>
      <w:tr w14:paraId="5539BF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shd w:val="clear" w:color="auto" w:fill="FFFFFF"/>
            <w:tcMar>
              <w:top w:w="65" w:type="dxa"/>
              <w:left w:w="85" w:type="dxa"/>
              <w:bottom w:w="65" w:type="dxa"/>
              <w:right w:w="85" w:type="dxa"/>
            </w:tcMar>
            <w:vAlign w:val="center"/>
          </w:tcPr>
          <w:p w14:paraId="1682E6BD">
            <w:pPr>
              <w:spacing w:before="20" w:after="20" w:line="264" w:lineRule="auto"/>
              <w:jc w:val="center"/>
            </w:pPr>
            <w:r>
              <w:rPr>
                <w:b w:val="0"/>
                <w:sz w:val="20"/>
              </w:rPr>
              <w:t>3 生成较长</w:t>
            </w:r>
          </w:p>
        </w:tc>
        <w:tc>
          <w:tcPr>
            <w:tcW w:w="397" w:type="dxa"/>
            <w:shd w:val="clear" w:color="auto" w:fill="FFFFFF"/>
            <w:tcMar>
              <w:top w:w="65" w:type="dxa"/>
              <w:left w:w="85" w:type="dxa"/>
              <w:bottom w:w="65" w:type="dxa"/>
              <w:right w:w="85" w:type="dxa"/>
            </w:tcMar>
            <w:vAlign w:val="center"/>
          </w:tcPr>
          <w:p w14:paraId="36B61693">
            <w:pPr>
              <w:spacing w:before="20" w:after="20" w:line="264" w:lineRule="auto"/>
              <w:jc w:val="center"/>
            </w:pPr>
            <w:r>
              <w:rPr>
                <w:b w:val="0"/>
                <w:sz w:val="20"/>
              </w:rPr>
              <w:t>4</w:t>
            </w:r>
          </w:p>
        </w:tc>
        <w:tc>
          <w:tcPr>
            <w:tcW w:w="510" w:type="dxa"/>
            <w:shd w:val="clear" w:color="auto" w:fill="FFFFFF"/>
            <w:tcMar>
              <w:top w:w="65" w:type="dxa"/>
              <w:left w:w="85" w:type="dxa"/>
              <w:bottom w:w="65" w:type="dxa"/>
              <w:right w:w="85" w:type="dxa"/>
            </w:tcMar>
            <w:vAlign w:val="center"/>
          </w:tcPr>
          <w:p w14:paraId="6AE159DF">
            <w:pPr>
              <w:spacing w:before="20" w:after="20" w:line="264" w:lineRule="auto"/>
              <w:jc w:val="center"/>
            </w:pPr>
            <w:r>
              <w:rPr>
                <w:b w:val="0"/>
                <w:sz w:val="20"/>
              </w:rPr>
              <w:t>32</w:t>
            </w:r>
          </w:p>
        </w:tc>
        <w:tc>
          <w:tcPr>
            <w:tcW w:w="510" w:type="dxa"/>
            <w:shd w:val="clear" w:color="auto" w:fill="FFFFFF"/>
            <w:tcMar>
              <w:top w:w="65" w:type="dxa"/>
              <w:left w:w="85" w:type="dxa"/>
              <w:bottom w:w="65" w:type="dxa"/>
              <w:right w:w="85" w:type="dxa"/>
            </w:tcMar>
            <w:vAlign w:val="center"/>
          </w:tcPr>
          <w:p w14:paraId="67848795">
            <w:pPr>
              <w:spacing w:before="20" w:after="20" w:line="264" w:lineRule="auto"/>
              <w:jc w:val="center"/>
            </w:pPr>
            <w:r>
              <w:rPr>
                <w:b w:val="0"/>
                <w:sz w:val="20"/>
              </w:rPr>
              <w:t>512</w:t>
            </w:r>
          </w:p>
        </w:tc>
        <w:tc>
          <w:tcPr>
            <w:tcW w:w="1304" w:type="dxa"/>
            <w:shd w:val="clear" w:color="auto" w:fill="FFFFFF"/>
            <w:tcMar>
              <w:top w:w="65" w:type="dxa"/>
              <w:left w:w="85" w:type="dxa"/>
              <w:bottom w:w="65" w:type="dxa"/>
              <w:right w:w="85" w:type="dxa"/>
            </w:tcMar>
            <w:vAlign w:val="center"/>
          </w:tcPr>
          <w:p w14:paraId="62FCECCD">
            <w:pPr>
              <w:spacing w:before="20" w:after="20" w:line="264" w:lineRule="auto"/>
              <w:jc w:val="center"/>
            </w:pPr>
            <w:r>
              <w:rPr>
                <w:b w:val="0"/>
                <w:sz w:val="20"/>
              </w:rPr>
              <w:t>2048</w:t>
            </w:r>
          </w:p>
        </w:tc>
        <w:tc>
          <w:tcPr>
            <w:tcW w:w="5783" w:type="dxa"/>
            <w:shd w:val="clear" w:color="auto" w:fill="FFFFFF"/>
            <w:tcMar>
              <w:top w:w="65" w:type="dxa"/>
              <w:left w:w="85" w:type="dxa"/>
              <w:bottom w:w="65" w:type="dxa"/>
              <w:right w:w="85" w:type="dxa"/>
            </w:tcMar>
            <w:vAlign w:val="center"/>
          </w:tcPr>
          <w:p w14:paraId="59E68154">
            <w:pPr>
              <w:spacing w:before="20" w:after="20" w:line="264" w:lineRule="auto"/>
              <w:jc w:val="center"/>
            </w:pPr>
            <w:r>
              <w:rPr>
                <w:b w:val="0"/>
                <w:sz w:val="20"/>
              </w:rPr>
              <w:t>长Decode和KV更新</w:t>
            </w:r>
          </w:p>
        </w:tc>
      </w:tr>
      <w:tr w14:paraId="7D125E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417" w:type="dxa"/>
            <w:shd w:val="clear" w:color="auto" w:fill="FFFFFF"/>
            <w:tcMar>
              <w:top w:w="65" w:type="dxa"/>
              <w:left w:w="85" w:type="dxa"/>
              <w:bottom w:w="65" w:type="dxa"/>
              <w:right w:w="85" w:type="dxa"/>
            </w:tcMar>
            <w:vAlign w:val="center"/>
          </w:tcPr>
          <w:p w14:paraId="16239041">
            <w:pPr>
              <w:spacing w:before="20" w:after="20" w:line="264" w:lineRule="auto"/>
              <w:jc w:val="center"/>
            </w:pPr>
            <w:r>
              <w:rPr>
                <w:b w:val="0"/>
                <w:sz w:val="20"/>
              </w:rPr>
              <w:t>4 输入较长</w:t>
            </w:r>
          </w:p>
        </w:tc>
        <w:tc>
          <w:tcPr>
            <w:tcW w:w="397" w:type="dxa"/>
            <w:shd w:val="clear" w:color="auto" w:fill="FFFFFF"/>
            <w:tcMar>
              <w:top w:w="65" w:type="dxa"/>
              <w:left w:w="85" w:type="dxa"/>
              <w:bottom w:w="65" w:type="dxa"/>
              <w:right w:w="85" w:type="dxa"/>
            </w:tcMar>
            <w:vAlign w:val="center"/>
          </w:tcPr>
          <w:p w14:paraId="25CCB87F">
            <w:pPr>
              <w:spacing w:before="20" w:after="20" w:line="264" w:lineRule="auto"/>
              <w:jc w:val="center"/>
            </w:pPr>
            <w:r>
              <w:rPr>
                <w:b w:val="0"/>
                <w:sz w:val="20"/>
              </w:rPr>
              <w:t>4</w:t>
            </w:r>
          </w:p>
        </w:tc>
        <w:tc>
          <w:tcPr>
            <w:tcW w:w="510" w:type="dxa"/>
            <w:shd w:val="clear" w:color="auto" w:fill="FFFFFF"/>
            <w:tcMar>
              <w:top w:w="65" w:type="dxa"/>
              <w:left w:w="85" w:type="dxa"/>
              <w:bottom w:w="65" w:type="dxa"/>
              <w:right w:w="85" w:type="dxa"/>
            </w:tcMar>
            <w:vAlign w:val="center"/>
          </w:tcPr>
          <w:p w14:paraId="1FC061AD">
            <w:pPr>
              <w:spacing w:before="20" w:after="20" w:line="264" w:lineRule="auto"/>
              <w:jc w:val="center"/>
            </w:pPr>
            <w:r>
              <w:rPr>
                <w:b w:val="0"/>
                <w:sz w:val="20"/>
              </w:rPr>
              <w:t>512</w:t>
            </w:r>
          </w:p>
        </w:tc>
        <w:tc>
          <w:tcPr>
            <w:tcW w:w="510" w:type="dxa"/>
            <w:shd w:val="clear" w:color="auto" w:fill="FFFFFF"/>
            <w:tcMar>
              <w:top w:w="65" w:type="dxa"/>
              <w:left w:w="85" w:type="dxa"/>
              <w:bottom w:w="65" w:type="dxa"/>
              <w:right w:w="85" w:type="dxa"/>
            </w:tcMar>
            <w:vAlign w:val="center"/>
          </w:tcPr>
          <w:p w14:paraId="58528541">
            <w:pPr>
              <w:spacing w:before="20" w:after="20" w:line="264" w:lineRule="auto"/>
              <w:jc w:val="center"/>
            </w:pPr>
            <w:r>
              <w:rPr>
                <w:b w:val="0"/>
                <w:sz w:val="20"/>
              </w:rPr>
              <w:t>64</w:t>
            </w:r>
          </w:p>
        </w:tc>
        <w:tc>
          <w:tcPr>
            <w:tcW w:w="1304" w:type="dxa"/>
            <w:shd w:val="clear" w:color="auto" w:fill="FFFFFF"/>
            <w:tcMar>
              <w:top w:w="65" w:type="dxa"/>
              <w:left w:w="85" w:type="dxa"/>
              <w:bottom w:w="65" w:type="dxa"/>
              <w:right w:w="85" w:type="dxa"/>
            </w:tcMar>
            <w:vAlign w:val="center"/>
          </w:tcPr>
          <w:p w14:paraId="2C444488">
            <w:pPr>
              <w:spacing w:before="20" w:after="20" w:line="264" w:lineRule="auto"/>
              <w:jc w:val="center"/>
            </w:pPr>
            <w:r>
              <w:rPr>
                <w:b w:val="0"/>
                <w:sz w:val="20"/>
              </w:rPr>
              <w:t>256</w:t>
            </w:r>
          </w:p>
        </w:tc>
        <w:tc>
          <w:tcPr>
            <w:tcW w:w="5783" w:type="dxa"/>
            <w:shd w:val="clear" w:color="auto" w:fill="FFFFFF"/>
            <w:tcMar>
              <w:top w:w="65" w:type="dxa"/>
              <w:left w:w="85" w:type="dxa"/>
              <w:bottom w:w="65" w:type="dxa"/>
              <w:right w:w="85" w:type="dxa"/>
            </w:tcMar>
            <w:vAlign w:val="center"/>
          </w:tcPr>
          <w:p w14:paraId="09A1A9B5">
            <w:pPr>
              <w:spacing w:before="20" w:after="20" w:line="264" w:lineRule="auto"/>
              <w:jc w:val="center"/>
            </w:pPr>
            <w:r>
              <w:rPr>
                <w:b w:val="0"/>
                <w:sz w:val="20"/>
              </w:rPr>
              <w:t>Prefill及长上下文计算</w:t>
            </w:r>
          </w:p>
        </w:tc>
      </w:tr>
    </w:tbl>
    <w:p w14:paraId="3DFF3EC6">
      <w:pPr>
        <w:widowControl/>
        <w:spacing w:after="20"/>
      </w:pPr>
    </w:p>
    <w:p w14:paraId="2B549900">
      <w:pPr>
        <w:widowControl/>
      </w:pPr>
      <w:r>
        <w:rPr>
          <w:b w:val="0"/>
        </w:rPr>
        <w:t>例如，负载2一次提供8条不同前缀，程序按原顺序返回8条后缀，每条恰好256个字母。本次共有8×256＝2048个新生成位置，输入前缀不参与一致性比较。</w:t>
      </w:r>
    </w:p>
    <w:p w14:paraId="6B2211FF">
      <w:pPr>
        <w:pStyle w:val="4"/>
      </w:pPr>
      <w:r>
        <w:t>输入与内部批处理</w:t>
      </w:r>
    </w:p>
    <w:p w14:paraId="68D0FBAB">
      <w:pPr>
        <w:widowControl/>
      </w:pPr>
      <w:r>
        <w:rPr>
          <w:b w:val="0"/>
        </w:rPr>
        <w:t>同一次请求的各条前缀Token长度相同，内容不同。评测传入的B、L和G固定，不能改变任务数量或生成长度。程序内部可以选择合批、分批或其他调度方式，但计时覆盖返回全部规定结果的过程；不能只返回或只测量其中一部分。</w:t>
      </w:r>
    </w:p>
    <w:p w14:paraId="382CCFDB">
      <w:pPr>
        <w:pStyle w:val="4"/>
      </w:pPr>
      <w:r>
        <w:t>确定性生成规则</w:t>
      </w:r>
    </w:p>
    <w:p w14:paraId="4B4EA78A">
      <w:pPr>
        <w:widowControl/>
      </w:pPr>
      <w:r>
        <w:rPr>
          <w:b w:val="0"/>
        </w:rPr>
        <w:t>基准程序在每一步取最后位置的Logits，只考虑20种标准氨基酸对应的Token，再选择得分最高者。得分相同时，按ACDEFGHIKLMNPQRSTVWY的固定顺序选取第一个。关闭随机采样，不使用温度、top-k或top-p等随机生成设置。</w:t>
      </w:r>
    </w:p>
    <w:p w14:paraId="2BA939AC">
      <w:pPr>
        <w:widowControl/>
      </w:pPr>
      <w:r>
        <w:rPr>
          <w:b w:val="0"/>
        </w:rPr>
        <w:t>固定生成G个字母，不允许因EOS或其他控制Token提前停止。基准已将候选范围限制为20种氨基酸，学生应保持同一生成规则。config.json中保留的上游采样默认值不能代替本题的确定性规则。</w:t>
      </w:r>
    </w:p>
    <w:p w14:paraId="3399C314">
      <w:pPr>
        <w:pStyle w:val="4"/>
      </w:pPr>
      <w:r>
        <w:t>规定测试输入</w:t>
      </w:r>
    </w:p>
    <w:p w14:paraId="65CBBD03">
      <w:pPr>
        <w:widowControl/>
      </w:pPr>
      <w:r>
        <w:rPr>
          <w:b w:val="0"/>
        </w:rPr>
        <w:t>四种负载的输入与FP32参考结果均在public_test_data/public_cases.json中提供，各队使用相同任务。输入和参考结果可用于调试与核查，但不得硬编码答案、查表返回结果或跳过真实模型推理。</w:t>
      </w:r>
    </w:p>
    <w:p w14:paraId="113BEB50">
      <w:pPr>
        <w:widowControl/>
      </w:pPr>
      <w:r>
        <w:rPr>
          <w:b w:val="0"/>
        </w:rPr>
        <w:t>本题的一致性表示与统一FP32计算结果的接近程度，不用于证明新生成序列具有某种生物学功能。</w:t>
      </w:r>
    </w:p>
    <w:p w14:paraId="2B02E21D">
      <w:pPr>
        <w:pStyle w:val="3"/>
        <w:pageBreakBefore/>
      </w:pPr>
      <w:r>
        <w:t>五 DCU部署与基准运行方法</w:t>
      </w:r>
    </w:p>
    <w:p w14:paraId="25560164">
      <w:pPr>
        <w:pStyle w:val="4"/>
      </w:pPr>
      <w:r>
        <w:t>环境要求</w:t>
      </w:r>
    </w:p>
    <w:p w14:paraId="4234665A">
      <w:pPr>
        <w:widowControl/>
      </w:pPr>
      <w:r>
        <w:rPr>
          <w:b w:val="0"/>
        </w:rPr>
        <w:t>比赛按队伍分配海光DCU账号和资源，不预先指定唯一容器镜像版本。各队在分配的资源上开发和测试；用于性能横向计分的记录须采用相同规格设备和相同卡数。具体账号、型号与资源额度以比赛通知为准。</w:t>
      </w:r>
    </w:p>
    <w:p w14:paraId="03F6438D">
      <w:pPr>
        <w:widowControl/>
      </w:pPr>
      <w:r>
        <w:rPr>
          <w:b w:val="0"/>
        </w:rPr>
        <w:t>所选环境必须使用适配DCU的PyTorch HIP版本，并能加载题目包。不要使用上游旧版CUDA依赖安装命令覆盖已有DCU版PyTorch。新增依赖、构建方式及必要准备事项在报告的运行说明中写明。构建和准备工作在计时测试前完成，计时生成期间不得联网下载、安装依赖或编译。</w:t>
      </w:r>
    </w:p>
    <w:p w14:paraId="3BEC23E2">
      <w:pPr>
        <w:pStyle w:val="4"/>
      </w:pPr>
      <w:r>
        <w:t>上传和解压</w:t>
      </w:r>
    </w:p>
    <w:p w14:paraId="7A57DAB7">
      <w:pPr>
        <w:widowControl/>
        <w:rPr>
          <w:b w:val="0"/>
        </w:rPr>
      </w:pPr>
      <w:r>
        <w:rPr>
          <w:b w:val="0"/>
        </w:rPr>
        <w:t>先创建能够访问DCU的容器或计算环境，将完整progen2_contest文件夹上传到可写工作目录。发布为压缩包先解压再进入该目录。</w:t>
      </w:r>
    </w:p>
    <w:p w14:paraId="72000001">
      <w:pPr>
        <w:pStyle w:val="4"/>
      </w:pPr>
      <w:r>
        <w:t>环境检查</w:t>
      </w:r>
    </w:p>
    <w:p w14:paraId="72000002">
      <w:pPr>
        <w:widowControl/>
        <w:rPr>
          <w:b w:val="0"/>
        </w:rPr>
      </w:pPr>
      <w:r>
        <w:t>进入题目包根目录progen2_contest后，先执行环境检查：</w:t>
      </w:r>
    </w:p>
    <w:p w14:paraId="72000003">
      <w:pPr>
        <w:keepLines/>
        <w:widowControl/>
        <w:spacing w:before="40" w:after="120" w:line="252" w:lineRule="auto"/>
      </w:pPr>
      <w:r>
        <w:t>python check_environment.py --full-hash</w:t>
      </w:r>
    </w:p>
    <w:p w14:paraId="1180792E">
      <w:pPr>
        <w:widowControl/>
      </w:pPr>
      <w:r>
        <w:t>该命令检查Python与主要依赖、DCU是否可用，并核对公共模型文件的大小及SHA256。</w:t>
      </w:r>
    </w:p>
    <w:p w14:paraId="406D8AA3">
      <w:pPr>
        <w:pStyle w:val="30"/>
        <w:keepNext w:val="0"/>
        <w:keepLines w:val="0"/>
        <w:widowControl/>
        <w:suppressLineNumbers w:val="0"/>
        <w:rPr>
          <w:rFonts w:hint="eastAsia"/>
          <w:lang w:val="en-US" w:eastAsia="zh-CN"/>
        </w:rPr>
      </w:pPr>
      <w:r>
        <w:rPr>
          <w:rFonts w:hint="eastAsia"/>
          <w:lang w:val="en-US" w:eastAsia="zh-CN"/>
        </w:rPr>
        <w:t>参考环境为：</w:t>
      </w:r>
      <w:r>
        <w:t>PyTorch / 2.4.1 / py3.10-Ubuntu22.04 / dtk25.04</w:t>
      </w:r>
    </w:p>
    <w:p w14:paraId="72000004">
      <w:pPr>
        <w:widowControl/>
        <w:rPr>
          <w:b w:val="0"/>
        </w:rPr>
      </w:pPr>
      <w:r>
        <w:t>出现ENVIRONMENT_CHECK_PASSED表示基础检查通过；随后继续运行FP32基准，确认模型能够实际加载并完成四项测试。</w:t>
      </w:r>
    </w:p>
    <w:p w14:paraId="54CA8E19">
      <w:pPr>
        <w:pStyle w:val="4"/>
      </w:pPr>
      <w:r>
        <w:t>运行统一FP32基准</w:t>
      </w:r>
      <w:bookmarkStart w:id="0" w:name="_GoBack"/>
      <w:bookmarkEnd w:id="0"/>
    </w:p>
    <w:p w14:paraId="0433B4A4">
      <w:pPr>
        <w:keepLines/>
        <w:widowControl/>
        <w:spacing w:before="40" w:after="120" w:line="252" w:lineRule="auto"/>
      </w:pPr>
      <w:r>
        <w:rPr>
          <w:b w:val="0"/>
        </w:rPr>
        <w:t>bash run_baseline.sh</w:t>
      </w:r>
    </w:p>
    <w:p w14:paraId="69AD4644">
      <w:pPr>
        <w:widowControl/>
      </w:pPr>
      <w:r>
        <w:rPr>
          <w:b w:val="0"/>
        </w:rPr>
        <w:t>run_baseline.sh固定加载baseline/solution.py，采用FP32权重、动态KV Cache和官方模型计算实现。submission/solution.py是待学生实现的接口骨架，不会自动调用基准。</w:t>
      </w:r>
    </w:p>
    <w:p w14:paraId="3AC5B33D">
      <w:pPr>
        <w:widowControl/>
      </w:pPr>
      <w:r>
        <w:rPr>
          <w:b w:val="0"/>
        </w:rPr>
        <w:t>脚本自动执行四种规定负载，每种先用另一组同规格输入预热1次，再计时生成1次。基准结果写入results/baseline_public.json，学生结果写入results/submission_public.json，缓存写入.cache/。题目包须位于可写目录；再次测试会覆盖相应的默认结果文件。</w:t>
      </w:r>
    </w:p>
    <w:p w14:paraId="0645BC43">
      <w:pPr>
        <w:pStyle w:val="3"/>
        <w:pageBreakBefore/>
      </w:pPr>
      <w:r>
        <w:t>六 开始编写和测试优化程序</w:t>
      </w:r>
    </w:p>
    <w:p w14:paraId="4495D0D0">
      <w:pPr>
        <w:pStyle w:val="4"/>
      </w:pPr>
      <w:r>
        <w:t>实现学生入口</w:t>
      </w:r>
    </w:p>
    <w:p w14:paraId="10494594">
      <w:pPr>
        <w:keepLines/>
        <w:widowControl/>
        <w:spacing w:before="40" w:after="120" w:line="252" w:lineRule="auto"/>
      </w:pPr>
      <w:r>
        <w:rPr>
          <w:b w:val="0"/>
        </w:rPr>
        <w:t># 按docs/INTERFACE.md实现submission/solution.py</w:t>
      </w:r>
      <w:r>
        <w:rPr>
          <w:b w:val="0"/>
        </w:rPr>
        <w:br w:type="textWrapping"/>
      </w:r>
      <w:r>
        <w:rPr>
          <w:b w:val="0"/>
        </w:rPr>
        <w:t>bash run_public_test.sh submission</w:t>
      </w:r>
    </w:p>
    <w:p w14:paraId="569167D3">
      <w:pPr>
        <w:widowControl/>
      </w:pPr>
      <w:r>
        <w:rPr>
          <w:b w:val="0"/>
        </w:rPr>
        <w:t>保留baseline原始文件作为对照。学生在submission中实现Solution，可添加src、ops或models等自有源码；骨架中的NotImplementedError表示尚未完成实现。可以阅读基准理解模型调用，再编写自己的实现。不能把测试器public_test.py作为作业入口或通过修改它改变成绩。</w:t>
      </w:r>
    </w:p>
    <w:p w14:paraId="34AC6DE2">
      <w:pPr>
        <w:pStyle w:val="4"/>
      </w:pPr>
      <w:r>
        <w:t>保存测试记录</w:t>
      </w:r>
    </w:p>
    <w:p w14:paraId="0129EE6C">
      <w:pPr>
        <w:widowControl/>
      </w:pPr>
      <w:r>
        <w:rPr>
          <w:b w:val="0"/>
        </w:rPr>
        <w:t>分别保存FP32基准和最终优化程序的结果及完整日志。需要指定独立结果文件时，可使用public_test.py的现有参数。若作品需要编译，先使用Bash入口完成build.sh和环境检查。</w:t>
      </w:r>
    </w:p>
    <w:p w14:paraId="51878397">
      <w:pPr>
        <w:keepLines/>
        <w:widowControl/>
        <w:spacing w:before="40" w:after="120" w:line="252" w:lineRule="auto"/>
      </w:pPr>
      <w:r>
        <w:rPr>
          <w:b w:val="0"/>
        </w:rPr>
        <w:t>python public_test.py --submission baseline --output results/baseline_public.json</w:t>
      </w:r>
      <w:r>
        <w:rPr>
          <w:b w:val="0"/>
        </w:rPr>
        <w:br w:type="textWrapping"/>
      </w:r>
      <w:r>
        <w:rPr>
          <w:b w:val="0"/>
        </w:rPr>
        <w:t>python public_test.py --submission submission --output results/submission_public.json</w:t>
      </w:r>
    </w:p>
    <w:p w14:paraId="21A84FCC">
      <w:pPr>
        <w:widowControl/>
      </w:pPr>
      <w:r>
        <w:rPr>
          <w:b w:val="0"/>
        </w:rPr>
        <w:t>run_public_test.sh只接收一个位置参数，即作品目录；不要向它添加不存在的--repeat或--warmup选项。普通自测直接使用两个Bash入口即可。</w:t>
      </w:r>
    </w:p>
    <w:p w14:paraId="3EA6F072">
      <w:pPr>
        <w:pStyle w:val="4"/>
      </w:pPr>
      <w:r>
        <w:t>测试结果说明</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288"/>
        <w:gridCol w:w="6633"/>
      </w:tblGrid>
      <w:tr w14:paraId="06915C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288" w:type="dxa"/>
            <w:shd w:val="clear" w:color="auto" w:fill="E8EDF2"/>
            <w:tcMar>
              <w:top w:w="65" w:type="dxa"/>
              <w:left w:w="85" w:type="dxa"/>
              <w:bottom w:w="65" w:type="dxa"/>
              <w:right w:w="85" w:type="dxa"/>
            </w:tcMar>
            <w:vAlign w:val="center"/>
          </w:tcPr>
          <w:p w14:paraId="6F753342">
            <w:pPr>
              <w:spacing w:before="20" w:after="20" w:line="264" w:lineRule="auto"/>
              <w:jc w:val="center"/>
            </w:pPr>
            <w:r>
              <w:rPr>
                <w:b/>
                <w:sz w:val="20"/>
              </w:rPr>
              <w:t>结果字段</w:t>
            </w:r>
          </w:p>
        </w:tc>
        <w:tc>
          <w:tcPr>
            <w:tcW w:w="6633" w:type="dxa"/>
            <w:shd w:val="clear" w:color="auto" w:fill="E8EDF2"/>
            <w:tcMar>
              <w:top w:w="65" w:type="dxa"/>
              <w:left w:w="85" w:type="dxa"/>
              <w:bottom w:w="65" w:type="dxa"/>
              <w:right w:w="85" w:type="dxa"/>
            </w:tcMar>
            <w:vAlign w:val="center"/>
          </w:tcPr>
          <w:p w14:paraId="1E2CFCEE">
            <w:pPr>
              <w:spacing w:before="20" w:after="20" w:line="264" w:lineRule="auto"/>
              <w:jc w:val="center"/>
            </w:pPr>
            <w:r>
              <w:rPr>
                <w:b/>
                <w:sz w:val="20"/>
              </w:rPr>
              <w:t>解释</w:t>
            </w:r>
          </w:p>
        </w:tc>
      </w:tr>
      <w:tr w14:paraId="54FBAF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88" w:type="dxa"/>
            <w:shd w:val="clear" w:color="auto" w:fill="FFFFFF"/>
            <w:tcMar>
              <w:top w:w="65" w:type="dxa"/>
              <w:left w:w="85" w:type="dxa"/>
              <w:bottom w:w="65" w:type="dxa"/>
              <w:right w:w="85" w:type="dxa"/>
            </w:tcMar>
            <w:vAlign w:val="center"/>
          </w:tcPr>
          <w:p w14:paraId="6D46CAA1">
            <w:pPr>
              <w:spacing w:before="20" w:after="20" w:line="264" w:lineRule="auto"/>
              <w:jc w:val="left"/>
            </w:pPr>
            <w:r>
              <w:rPr>
                <w:b w:val="0"/>
                <w:sz w:val="20"/>
              </w:rPr>
              <w:t>time_s</w:t>
            </w:r>
          </w:p>
        </w:tc>
        <w:tc>
          <w:tcPr>
            <w:tcW w:w="6633" w:type="dxa"/>
            <w:shd w:val="clear" w:color="auto" w:fill="FFFFFF"/>
            <w:tcMar>
              <w:top w:w="65" w:type="dxa"/>
              <w:left w:w="85" w:type="dxa"/>
              <w:bottom w:w="65" w:type="dxa"/>
              <w:right w:w="85" w:type="dxa"/>
            </w:tcMar>
            <w:vAlign w:val="center"/>
          </w:tcPr>
          <w:p w14:paraId="6A62F3B1">
            <w:pPr>
              <w:spacing w:before="20" w:after="20" w:line="264" w:lineRule="auto"/>
              <w:jc w:val="left"/>
            </w:pPr>
            <w:r>
              <w:rPr>
                <w:b w:val="0"/>
                <w:sz w:val="20"/>
              </w:rPr>
              <w:t>完成该次整个generate调用并同步DCU的耗时。</w:t>
            </w:r>
          </w:p>
        </w:tc>
      </w:tr>
      <w:tr w14:paraId="5BDC51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88" w:type="dxa"/>
            <w:shd w:val="clear" w:color="auto" w:fill="FFFFFF"/>
            <w:tcMar>
              <w:top w:w="65" w:type="dxa"/>
              <w:left w:w="85" w:type="dxa"/>
              <w:bottom w:w="65" w:type="dxa"/>
              <w:right w:w="85" w:type="dxa"/>
            </w:tcMar>
            <w:vAlign w:val="center"/>
          </w:tcPr>
          <w:p w14:paraId="5B450651">
            <w:pPr>
              <w:spacing w:before="20" w:after="20" w:line="264" w:lineRule="auto"/>
              <w:jc w:val="left"/>
            </w:pPr>
            <w:r>
              <w:rPr>
                <w:b w:val="0"/>
                <w:sz w:val="20"/>
              </w:rPr>
              <w:t>same / total</w:t>
            </w:r>
          </w:p>
        </w:tc>
        <w:tc>
          <w:tcPr>
            <w:tcW w:w="6633" w:type="dxa"/>
            <w:shd w:val="clear" w:color="auto" w:fill="FFFFFF"/>
            <w:tcMar>
              <w:top w:w="65" w:type="dxa"/>
              <w:left w:w="85" w:type="dxa"/>
              <w:bottom w:w="65" w:type="dxa"/>
              <w:right w:w="85" w:type="dxa"/>
            </w:tcMar>
            <w:vAlign w:val="center"/>
          </w:tcPr>
          <w:p w14:paraId="098E678F">
            <w:pPr>
              <w:spacing w:before="20" w:after="20" w:line="264" w:lineRule="auto"/>
              <w:jc w:val="left"/>
            </w:pPr>
            <w:r>
              <w:rPr>
                <w:b w:val="0"/>
                <w:sz w:val="20"/>
              </w:rPr>
              <w:t>与统一FP32参考相同的字母数／规定比较位置数。</w:t>
            </w:r>
          </w:p>
        </w:tc>
      </w:tr>
      <w:tr w14:paraId="74B9B6A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88" w:type="dxa"/>
            <w:shd w:val="clear" w:color="auto" w:fill="FFFFFF"/>
            <w:tcMar>
              <w:top w:w="65" w:type="dxa"/>
              <w:left w:w="85" w:type="dxa"/>
              <w:bottom w:w="65" w:type="dxa"/>
              <w:right w:w="85" w:type="dxa"/>
            </w:tcMar>
            <w:vAlign w:val="center"/>
          </w:tcPr>
          <w:p w14:paraId="4C0FCEC1">
            <w:pPr>
              <w:spacing w:before="20" w:after="20" w:line="264" w:lineRule="auto"/>
              <w:jc w:val="left"/>
            </w:pPr>
            <w:r>
              <w:rPr>
                <w:b w:val="0"/>
                <w:sz w:val="20"/>
              </w:rPr>
              <w:t>consistency_rate</w:t>
            </w:r>
          </w:p>
        </w:tc>
        <w:tc>
          <w:tcPr>
            <w:tcW w:w="6633" w:type="dxa"/>
            <w:shd w:val="clear" w:color="auto" w:fill="FFFFFF"/>
            <w:tcMar>
              <w:top w:w="65" w:type="dxa"/>
              <w:left w:w="85" w:type="dxa"/>
              <w:bottom w:w="65" w:type="dxa"/>
              <w:right w:w="85" w:type="dxa"/>
            </w:tcMar>
            <w:vAlign w:val="center"/>
          </w:tcPr>
          <w:p w14:paraId="42D97F1F">
            <w:pPr>
              <w:spacing w:before="20" w:after="20" w:line="264" w:lineRule="auto"/>
              <w:jc w:val="left"/>
            </w:pPr>
            <w:r>
              <w:rPr>
                <w:b w:val="0"/>
                <w:sz w:val="20"/>
              </w:rPr>
              <w:t>该负载结果一致率，例如1.0表示100%。</w:t>
            </w:r>
          </w:p>
        </w:tc>
      </w:tr>
      <w:tr w14:paraId="273A09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88" w:type="dxa"/>
            <w:shd w:val="clear" w:color="auto" w:fill="FFFFFF"/>
            <w:tcMar>
              <w:top w:w="65" w:type="dxa"/>
              <w:left w:w="85" w:type="dxa"/>
              <w:bottom w:w="65" w:type="dxa"/>
              <w:right w:w="85" w:type="dxa"/>
            </w:tcMar>
            <w:vAlign w:val="center"/>
          </w:tcPr>
          <w:p w14:paraId="57469254">
            <w:pPr>
              <w:spacing w:before="20" w:after="20" w:line="264" w:lineRule="auto"/>
              <w:jc w:val="left"/>
            </w:pPr>
            <w:r>
              <w:rPr>
                <w:b w:val="0"/>
                <w:sz w:val="20"/>
              </w:rPr>
              <w:t>exact_match</w:t>
            </w:r>
          </w:p>
        </w:tc>
        <w:tc>
          <w:tcPr>
            <w:tcW w:w="6633" w:type="dxa"/>
            <w:shd w:val="clear" w:color="auto" w:fill="FFFFFF"/>
            <w:tcMar>
              <w:top w:w="65" w:type="dxa"/>
              <w:left w:w="85" w:type="dxa"/>
              <w:bottom w:w="65" w:type="dxa"/>
              <w:right w:w="85" w:type="dxa"/>
            </w:tcMar>
            <w:vAlign w:val="center"/>
          </w:tcPr>
          <w:p w14:paraId="1603A55A">
            <w:pPr>
              <w:spacing w:before="20" w:after="20" w:line="264" w:lineRule="auto"/>
              <w:jc w:val="left"/>
            </w:pPr>
            <w:r>
              <w:rPr>
                <w:b w:val="0"/>
                <w:sz w:val="20"/>
              </w:rPr>
              <w:t>该负载是否逐字完全一致。</w:t>
            </w:r>
          </w:p>
        </w:tc>
      </w:tr>
      <w:tr w14:paraId="20D4F1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288" w:type="dxa"/>
            <w:shd w:val="clear" w:color="auto" w:fill="FFFFFF"/>
            <w:tcMar>
              <w:top w:w="65" w:type="dxa"/>
              <w:left w:w="85" w:type="dxa"/>
              <w:bottom w:w="65" w:type="dxa"/>
              <w:right w:w="85" w:type="dxa"/>
            </w:tcMar>
            <w:vAlign w:val="center"/>
          </w:tcPr>
          <w:p w14:paraId="6404FB16">
            <w:pPr>
              <w:spacing w:before="20" w:after="20" w:line="264" w:lineRule="auto"/>
              <w:jc w:val="left"/>
            </w:pPr>
            <w:r>
              <w:rPr>
                <w:b w:val="0"/>
                <w:sz w:val="20"/>
              </w:rPr>
              <w:t>PUBLIC_INTERFACE_TEST_PASSED</w:t>
            </w:r>
          </w:p>
        </w:tc>
        <w:tc>
          <w:tcPr>
            <w:tcW w:w="6633" w:type="dxa"/>
            <w:shd w:val="clear" w:color="auto" w:fill="FFFFFF"/>
            <w:tcMar>
              <w:top w:w="65" w:type="dxa"/>
              <w:left w:w="85" w:type="dxa"/>
              <w:bottom w:w="65" w:type="dxa"/>
              <w:right w:w="85" w:type="dxa"/>
            </w:tcMar>
            <w:vAlign w:val="center"/>
          </w:tcPr>
          <w:p w14:paraId="416C89B1">
            <w:pPr>
              <w:spacing w:before="20" w:after="20" w:line="264" w:lineRule="auto"/>
              <w:jc w:val="left"/>
            </w:pPr>
            <w:r>
              <w:rPr>
                <w:b w:val="0"/>
                <w:sz w:val="20"/>
              </w:rPr>
              <w:t>四种负载均运行完成且输出格式合格；仍须查看实际一致率。</w:t>
            </w:r>
          </w:p>
        </w:tc>
      </w:tr>
    </w:tbl>
    <w:p w14:paraId="577A3827">
      <w:pPr>
        <w:widowControl/>
        <w:spacing w:after="20"/>
      </w:pPr>
    </w:p>
    <w:p w14:paraId="410866F2">
      <w:pPr>
        <w:widowControl/>
      </w:pPr>
      <w:r>
        <w:rPr>
          <w:b w:val="0"/>
        </w:rPr>
        <w:t>出现PUBLIC_INTERFACE_TEST_PASSED表示四种负载运行完成且输出格式合格，不保证字母100%一致，也不直接代表最终分数。实际一致率应查看consistency_rate。time_s是该负载的完整生成耗时。</w:t>
      </w:r>
    </w:p>
    <w:p w14:paraId="7845D565">
      <w:pPr>
        <w:widowControl/>
      </w:pPr>
      <w:r>
        <w:rPr>
          <w:b w:val="0"/>
        </w:rPr>
        <w:t>完整推理加速比用于报告说明：同一负载的FP32基准耗时÷优化程序耗时。比赛性能分比较本队与该负载所有合格队伍中的最短耗时，不以FP32基准或本队自行选择的慢版本为评分基准。</w:t>
      </w:r>
    </w:p>
    <w:p w14:paraId="5985D495">
      <w:pPr>
        <w:pStyle w:val="3"/>
        <w:pageBreakBefore/>
      </w:pPr>
      <w:r>
        <w:t>七 允许修改的范围与限制</w:t>
      </w:r>
    </w:p>
    <w:p w14:paraId="6C44D583">
      <w:pPr>
        <w:pStyle w:val="4"/>
      </w:pPr>
      <w:r>
        <w:t>允许开展的优化</w:t>
      </w:r>
    </w:p>
    <w:p w14:paraId="4872DF27">
      <w:pPr>
        <w:widowControl/>
        <w:spacing w:after="100"/>
        <w:ind w:left="204" w:hanging="204"/>
      </w:pPr>
      <w:r>
        <w:rPr>
          <w:b w:val="0"/>
        </w:rPr>
        <w:t>1. 推理精度与量化：可以从公共权重进行FP16、BF16或INT8、INT4等推理表示转换。须说明转换与校准过程，不得用参考答案拟合输出，不得借量化之名重新训练模型。</w:t>
      </w:r>
    </w:p>
    <w:p w14:paraId="77146E80">
      <w:pPr>
        <w:widowControl/>
        <w:spacing w:after="100"/>
        <w:ind w:left="204" w:hanging="204"/>
      </w:pPr>
      <w:r>
        <w:rPr>
          <w:b w:val="0"/>
        </w:rPr>
        <w:t>2. 缓存和显存管理：可以修改KV及RoPE等缓存实现、分配方式和张量布局；不得跨请求复用输入相关KV或生成结果。本次请求内正常使用KV Cache不受此限制。</w:t>
      </w:r>
    </w:p>
    <w:p w14:paraId="5F0C50AA">
      <w:pPr>
        <w:widowControl/>
        <w:spacing w:after="100"/>
        <w:ind w:left="204" w:hanging="204"/>
      </w:pPr>
      <w:r>
        <w:rPr>
          <w:b w:val="0"/>
        </w:rPr>
        <w:t>3. 生成流程：可以改写生成循环、批处理调度、输出组织和数据传输，但保持固定的输入任务、生成规则与输出接口。</w:t>
      </w:r>
    </w:p>
    <w:p w14:paraId="4A87B424">
      <w:pPr>
        <w:widowControl/>
        <w:spacing w:after="100"/>
        <w:ind w:left="204" w:hanging="204"/>
      </w:pPr>
      <w:r>
        <w:rPr>
          <w:b w:val="0"/>
        </w:rPr>
        <w:t>4. 模型内部计算实现：可以改写Attention、MLP等推理代码，重排等价计算、融合算子或使用编译优化。</w:t>
      </w:r>
    </w:p>
    <w:p w14:paraId="17581DDC">
      <w:pPr>
        <w:widowControl/>
        <w:spacing w:after="100"/>
        <w:ind w:left="204" w:hanging="204"/>
      </w:pPr>
      <w:r>
        <w:rPr>
          <w:b w:val="0"/>
        </w:rPr>
        <w:t>5. 底层实现与后端：可以增加Python、C++或HIP源码，或使用适配DCU的后端；必须在统一资源内完成任务，并提供可复现源码与依赖说明。</w:t>
      </w:r>
    </w:p>
    <w:p w14:paraId="1BB0D8D8">
      <w:pPr>
        <w:widowControl/>
      </w:pPr>
      <w:r>
        <w:rPr>
          <w:b w:val="0"/>
        </w:rPr>
        <w:t>优化方案由各队自主设计，须符合本说明的模型、任务与资源要求。低精度、量化或自定义算子并不保证加速或达到一致性门槛，实际效果以提交的完整任务测试记录为依据。</w:t>
      </w:r>
    </w:p>
    <w:p w14:paraId="6CFB1AC0">
      <w:pPr>
        <w:pStyle w:val="4"/>
      </w:pPr>
      <w:r>
        <w:t>不允许改变的内容</w:t>
      </w:r>
    </w:p>
    <w:p w14:paraId="35A23C8B">
      <w:pPr>
        <w:widowControl/>
        <w:spacing w:after="100"/>
        <w:ind w:left="204" w:hanging="204"/>
      </w:pPr>
      <w:r>
        <w:rPr>
          <w:b w:val="0"/>
        </w:rPr>
        <w:t>1. 不得更换ProGen2-medium、使用其他预训练权重或修改统一Tokenizer。公共权重是所有方案的唯一起点；允许的量化转换不视为替换模型。</w:t>
      </w:r>
    </w:p>
    <w:p w14:paraId="04230A29">
      <w:pPr>
        <w:widowControl/>
        <w:spacing w:after="100"/>
        <w:ind w:left="204" w:hanging="204"/>
      </w:pPr>
      <w:r>
        <w:rPr>
          <w:b w:val="0"/>
        </w:rPr>
        <w:t>2. 不得剪枝、删除层或注意力头、改变网络层数及隐藏维度，或将模型替换为重新设计的网络。允许改变内部计算实现和存储布局，但应保留原模型的网络计算任务。</w:t>
      </w:r>
    </w:p>
    <w:p w14:paraId="7402DDF9">
      <w:pPr>
        <w:widowControl/>
        <w:spacing w:after="100"/>
        <w:ind w:left="204" w:hanging="204"/>
      </w:pPr>
      <w:r>
        <w:rPr>
          <w:b w:val="0"/>
        </w:rPr>
        <w:t>3. 不得重新训练或微调主模型；不得训练额外推测解码模型，或引入其他模型权重作为草稿模型。</w:t>
      </w:r>
    </w:p>
    <w:p w14:paraId="6B01899E">
      <w:pPr>
        <w:pStyle w:val="4"/>
      </w:pPr>
      <w:r>
        <w:t>为什么设置这些限制</w:t>
      </w:r>
    </w:p>
    <w:p w14:paraId="2BD4636F">
      <w:pPr>
        <w:widowControl/>
      </w:pPr>
      <w:r>
        <w:rPr>
          <w:b w:val="0"/>
        </w:rPr>
        <w:t>本题比较同一预训练模型在DCU上的推理执行效率。剪枝、删层、改变网络结构或额外模型训练，会引入模型能力、训练数据和训练资源的差异，不能只归因于执行优化。因此本题开放精度、缓存、流程和算子实现优化，保持模型来源与任务固定。学生可以充分修改模型内部代码，不必从零编写HIP算子。</w:t>
      </w:r>
    </w:p>
    <w:p w14:paraId="558F9C5F">
      <w:pPr>
        <w:pStyle w:val="3"/>
        <w:pageBreakBefore/>
      </w:pPr>
      <w:r>
        <w:t>八 作品测试流程与计时范围</w:t>
      </w:r>
    </w:p>
    <w:p w14:paraId="01133D12">
      <w:pPr>
        <w:widowControl/>
      </w:pPr>
      <w:r>
        <w:rPr>
          <w:b w:val="0"/>
        </w:rPr>
        <w:t>学生使用题目包提供的脚本，自动运行public_test_data/public_cases.json中的四种负载。提交最终代码对应的一轮原始JSON和完整日志。</w:t>
      </w:r>
    </w:p>
    <w:p w14:paraId="2CF4315C">
      <w:pPr>
        <w:pStyle w:val="4"/>
      </w:pPr>
      <w:r>
        <w:t>测试流程</w:t>
      </w:r>
    </w:p>
    <w:p w14:paraId="50ABC472">
      <w:pPr>
        <w:widowControl/>
        <w:spacing w:after="100"/>
        <w:ind w:left="204" w:hanging="204"/>
      </w:pPr>
      <w:r>
        <w:rPr>
          <w:b w:val="0"/>
        </w:rPr>
        <w:t>1. 运行环境检查；作品如有build.sh，先通过Bash入口完成构建。</w:t>
      </w:r>
    </w:p>
    <w:p w14:paraId="7E18CBEE">
      <w:pPr>
        <w:widowControl/>
        <w:spacing w:after="100"/>
        <w:ind w:left="204" w:hanging="204"/>
      </w:pPr>
      <w:r>
        <w:rPr>
          <w:b w:val="0"/>
        </w:rPr>
        <w:t>2. 创建一次Solution对象，完成模型加载及与输入无关的初始化。</w:t>
      </w:r>
    </w:p>
    <w:p w14:paraId="32A12458">
      <w:pPr>
        <w:widowControl/>
        <w:spacing w:after="100"/>
        <w:ind w:left="204" w:hanging="204"/>
      </w:pPr>
      <w:r>
        <w:rPr>
          <w:b w:val="0"/>
        </w:rPr>
        <w:t>3. 对每种负载，使用同规格但内容不同的一组输入预热1次，预热时间不计入成绩。</w:t>
      </w:r>
    </w:p>
    <w:p w14:paraId="2E29277C">
      <w:pPr>
        <w:widowControl/>
        <w:spacing w:after="100"/>
        <w:ind w:left="204" w:hanging="204"/>
      </w:pPr>
      <w:r>
        <w:rPr>
          <w:b w:val="0"/>
        </w:rPr>
        <w:t>4. 清除预热产生的输入相关状态，调用generate处理该负载的测试输入并计时1次。</w:t>
      </w:r>
    </w:p>
    <w:p w14:paraId="57AC40F2">
      <w:pPr>
        <w:widowControl/>
        <w:spacing w:after="100"/>
        <w:ind w:left="204" w:hanging="204"/>
      </w:pPr>
      <w:r>
        <w:rPr>
          <w:b w:val="0"/>
        </w:rPr>
        <w:t>5. 检查输出格式，记录该负载耗时与一致率。全部负载正常完成后写入JSON；保存该轮完整日志。</w:t>
      </w:r>
    </w:p>
    <w:p w14:paraId="5D77A272">
      <w:pPr>
        <w:widowControl/>
      </w:pPr>
      <w:r>
        <w:rPr>
          <w:b w:val="0"/>
        </w:rPr>
        <w:t>一轮完整测试共4次预热和4次计时生成，使用同一个Solution对象。每次请求须独立计算，不能复用上一请求的序列结果或输入相关KV。开发期间可以多次测试；最终提交的一套记录须完整对应同一版代码，不得按负载拼接不同轮次的最好结果。</w:t>
      </w:r>
    </w:p>
    <w:p w14:paraId="4FAA92A9">
      <w:pPr>
        <w:pStyle w:val="4"/>
      </w:pPr>
      <w:r>
        <w:t>哪些工作计入时间</w:t>
      </w:r>
    </w:p>
    <w:p w14:paraId="6429A393">
      <w:pPr>
        <w:widowControl/>
      </w:pPr>
      <w:r>
        <w:rPr>
          <w:b w:val="0"/>
        </w:rPr>
        <w:t>在前一次请求状态清除并完成DCU同步后，测试程序开始计时；调用generate返回全部结果，再完成DCU同步后结束计时。计时包含generate内部的Tokenizer处理、输入构造、必要传输、Prefill、Decode及输出字符串转换。不能只上报局部算子或内部循环的耗时。</w:t>
      </w:r>
    </w:p>
    <w:p w14:paraId="71E39455">
      <w:pPr>
        <w:widowControl/>
      </w:pPr>
      <w:r>
        <w:rPr>
          <w:b w:val="0"/>
        </w:rPr>
        <w:t>模型加载、离线编译、与输入无关的初始化、规定预热、结果校验和写盘不计入生成时间。不得在初始化、预热或reset阶段提前计算计时任务，也不得预存其生成答案。</w:t>
      </w:r>
    </w:p>
    <w:p w14:paraId="450E73A9">
      <w:pPr>
        <w:pStyle w:val="4"/>
      </w:pPr>
      <w:r>
        <w:t>请求之间可以保留什么</w:t>
      </w:r>
    </w:p>
    <w:p w14:paraId="7490D9A4">
      <w:pPr>
        <w:widowControl/>
      </w:pPr>
      <w:r>
        <w:rPr>
          <w:b w:val="0"/>
        </w:rPr>
        <w:t>可以保留模型、已编译算子、与输入无关的RoPE表和通用预分配缓冲区。必须清除上一请求的输入、生成结果及有效KV内容；可复用缓冲区容量，但不能把上一次缓存数据当作本次输入的计算结果。</w:t>
      </w:r>
    </w:p>
    <w:p w14:paraId="41E36CF7">
      <w:pPr>
        <w:widowControl/>
      </w:pPr>
      <w:r>
        <w:rPr>
          <w:b w:val="0"/>
        </w:rPr>
        <w:t>每种负载仅记录本轮一次计时结果。测试时避免同时运行其他占用同一设备的任务。设备或平台故障应保留日志并反馈；经核实后重新测试，程序自身异常按失败规则处理。</w:t>
      </w:r>
    </w:p>
    <w:p w14:paraId="27DFE400">
      <w:pPr>
        <w:pStyle w:val="3"/>
        <w:pageBreakBefore/>
      </w:pPr>
      <w:r>
        <w:t>九 基础运行与结果一致性评分</w:t>
      </w:r>
    </w:p>
    <w:p w14:paraId="00E37AEE">
      <w:pPr>
        <w:widowControl/>
      </w:pPr>
      <w:r>
        <w:rPr>
          <w:b w:val="0"/>
        </w:rPr>
        <w:t>总分100分，由基础运行25分、结果一致性25分、性能40分和工程报告10分组成。四种负载等权，不能因为批量较大或输出字母较多而在一致性和性能中占据额外权重。</w:t>
      </w:r>
    </w:p>
    <w:p w14:paraId="06F4631D">
      <w:pPr>
        <w:pStyle w:val="4"/>
      </w:pPr>
      <w:r>
        <w:t>基础运行25分</w:t>
      </w:r>
    </w:p>
    <w:p w14:paraId="33268056">
      <w:pPr>
        <w:widowControl/>
      </w:pPr>
      <w:r>
        <w:rPr>
          <w:b w:val="0"/>
        </w:rPr>
        <w:t>四种负载均完成本轮计时运行，且输出类型、条数、顺序、长度和字符格式合格，基础运行得25分；否则仅基础运行项得0分。此项不要求字母与FP32全部相同。失败负载的一致率和性能分为0，其他有效负载与报告仍分别计分。</w:t>
      </w:r>
    </w:p>
    <w:p w14:paraId="143168C8">
      <w:pPr>
        <w:pStyle w:val="4"/>
      </w:pPr>
      <w:r>
        <w:t>结果一致性25分</w:t>
      </w:r>
    </w:p>
    <w:p w14:paraId="610EDBE4">
      <w:pPr>
        <w:widowControl/>
      </w:pPr>
      <w:r>
        <w:rPr>
          <w:b w:val="0"/>
        </w:rPr>
        <w:t>按输入顺序与生成位置，将参赛结果与规定输入对应的FP32参考结果逐字比较。输入前缀不计入，不能重新对齐序列或调整结果顺序。输出完整且格式合格时，该负载一致率为相同字母数除以规定比较位置数。</w:t>
      </w:r>
    </w:p>
    <w:p w14:paraId="68210EBF">
      <w:pPr>
        <w:keepLines/>
        <w:widowControl/>
        <w:spacing w:before="80" w:after="160"/>
        <w:jc w:val="center"/>
      </w:pPr>
      <m:oMathPara>
        <m:oMath>
          <m:r>
            <m:rPr/>
            <m:t>每种负载一致率 = 相同字母数量 ÷ 规定比较位置数</m:t>
          </m:r>
        </m:oMath>
      </m:oMathPara>
    </w:p>
    <w:p w14:paraId="57763536">
      <w:pPr>
        <w:widowControl/>
      </w:pPr>
      <w:r>
        <w:rPr>
          <w:b w:val="0"/>
        </w:rPr>
        <w:t>四种负载的一致率分别记为R₁、R₂、R₃、R₄；取四者的平均值得到总体一致率R，各负载权重相同。运行失败、输出格式不合格、未执行或无可核验记录的负载，一致率记为0。</w:t>
      </w:r>
    </w:p>
    <w:p w14:paraId="12B20EEE">
      <w:pPr>
        <w:keepLines/>
        <w:widowControl/>
        <w:spacing w:before="80" w:after="160"/>
        <w:jc w:val="center"/>
      </w:pPr>
      <m:oMathPara>
        <m:oMath>
          <m:r>
            <m:rPr/>
            <m:t>R = (R₁ + R₂ + R₃ + R₄) ÷ 4</m:t>
          </m:r>
        </m:oMath>
      </m:oMathPara>
    </w:p>
    <w:p w14:paraId="75A24DB0">
      <w:pPr>
        <w:widowControl/>
      </w:pPr>
      <w:r>
        <w:rPr>
          <w:b w:val="0"/>
        </w:rPr>
        <w:t>C表示结果一致性得分，满分25分。R≤80%时，C＝0分；R＞80%时，按下面的公式计分。80%是计分起点，20%为100%与80%的差值。</w:t>
      </w:r>
    </w:p>
    <w:p w14:paraId="4A7C13B0">
      <w:pPr>
        <w:keepLines/>
        <w:widowControl/>
        <w:spacing w:before="80" w:after="160"/>
        <w:jc w:val="center"/>
      </w:pPr>
      <m:oMathPara>
        <m:oMath>
          <m:r>
            <m:rPr/>
            <m:t>C = 25 × (R − 80%) ÷ 20%</m:t>
          </m:r>
        </m:oMath>
      </m:oMathPara>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4932"/>
        <w:gridCol w:w="4989"/>
      </w:tblGrid>
      <w:tr w14:paraId="60583F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4932" w:type="dxa"/>
            <w:shd w:val="clear" w:color="auto" w:fill="E8EDF2"/>
            <w:tcMar>
              <w:top w:w="65" w:type="dxa"/>
              <w:left w:w="85" w:type="dxa"/>
              <w:bottom w:w="65" w:type="dxa"/>
              <w:right w:w="85" w:type="dxa"/>
            </w:tcMar>
            <w:vAlign w:val="center"/>
          </w:tcPr>
          <w:p w14:paraId="4CA95F13">
            <w:pPr>
              <w:spacing w:before="20" w:after="20" w:line="264" w:lineRule="auto"/>
              <w:jc w:val="center"/>
            </w:pPr>
            <w:r>
              <w:rPr>
                <w:b/>
                <w:sz w:val="21"/>
              </w:rPr>
              <w:t>总体一致率R</w:t>
            </w:r>
          </w:p>
        </w:tc>
        <w:tc>
          <w:tcPr>
            <w:tcW w:w="4989" w:type="dxa"/>
            <w:shd w:val="clear" w:color="auto" w:fill="E8EDF2"/>
            <w:tcMar>
              <w:top w:w="65" w:type="dxa"/>
              <w:left w:w="85" w:type="dxa"/>
              <w:bottom w:w="65" w:type="dxa"/>
              <w:right w:w="85" w:type="dxa"/>
            </w:tcMar>
            <w:vAlign w:val="center"/>
          </w:tcPr>
          <w:p w14:paraId="38FF0510">
            <w:pPr>
              <w:spacing w:before="20" w:after="20" w:line="264" w:lineRule="auto"/>
              <w:jc w:val="center"/>
            </w:pPr>
            <w:r>
              <w:rPr>
                <w:b/>
                <w:sz w:val="21"/>
              </w:rPr>
              <w:t>一致性得分</w:t>
            </w:r>
          </w:p>
        </w:tc>
      </w:tr>
      <w:tr w14:paraId="6D6BA1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932" w:type="dxa"/>
            <w:shd w:val="clear" w:color="auto" w:fill="FFFFFF"/>
            <w:tcMar>
              <w:top w:w="65" w:type="dxa"/>
              <w:left w:w="85" w:type="dxa"/>
              <w:bottom w:w="65" w:type="dxa"/>
              <w:right w:w="85" w:type="dxa"/>
            </w:tcMar>
            <w:vAlign w:val="center"/>
          </w:tcPr>
          <w:p w14:paraId="532037A1">
            <w:pPr>
              <w:spacing w:before="20" w:after="20" w:line="264" w:lineRule="auto"/>
              <w:jc w:val="center"/>
            </w:pPr>
            <w:r>
              <w:rPr>
                <w:b w:val="0"/>
                <w:sz w:val="21"/>
              </w:rPr>
              <w:t>80%及以下</w:t>
            </w:r>
          </w:p>
        </w:tc>
        <w:tc>
          <w:tcPr>
            <w:tcW w:w="4989" w:type="dxa"/>
            <w:shd w:val="clear" w:color="auto" w:fill="FFFFFF"/>
            <w:tcMar>
              <w:top w:w="65" w:type="dxa"/>
              <w:left w:w="85" w:type="dxa"/>
              <w:bottom w:w="65" w:type="dxa"/>
              <w:right w:w="85" w:type="dxa"/>
            </w:tcMar>
            <w:vAlign w:val="center"/>
          </w:tcPr>
          <w:p w14:paraId="39A002EE">
            <w:pPr>
              <w:spacing w:before="20" w:after="20" w:line="264" w:lineRule="auto"/>
              <w:jc w:val="center"/>
            </w:pPr>
            <w:r>
              <w:rPr>
                <w:b w:val="0"/>
                <w:sz w:val="21"/>
              </w:rPr>
              <w:t>0分</w:t>
            </w:r>
          </w:p>
        </w:tc>
      </w:tr>
      <w:tr w14:paraId="113283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932" w:type="dxa"/>
            <w:shd w:val="clear" w:color="auto" w:fill="FFFFFF"/>
            <w:tcMar>
              <w:top w:w="65" w:type="dxa"/>
              <w:left w:w="85" w:type="dxa"/>
              <w:bottom w:w="65" w:type="dxa"/>
              <w:right w:w="85" w:type="dxa"/>
            </w:tcMar>
            <w:vAlign w:val="center"/>
          </w:tcPr>
          <w:p w14:paraId="6F0A62E0">
            <w:pPr>
              <w:spacing w:before="20" w:after="20" w:line="264" w:lineRule="auto"/>
              <w:jc w:val="center"/>
            </w:pPr>
            <w:r>
              <w:rPr>
                <w:b w:val="0"/>
                <w:sz w:val="21"/>
              </w:rPr>
              <w:t>90%</w:t>
            </w:r>
          </w:p>
        </w:tc>
        <w:tc>
          <w:tcPr>
            <w:tcW w:w="4989" w:type="dxa"/>
            <w:shd w:val="clear" w:color="auto" w:fill="FFFFFF"/>
            <w:tcMar>
              <w:top w:w="65" w:type="dxa"/>
              <w:left w:w="85" w:type="dxa"/>
              <w:bottom w:w="65" w:type="dxa"/>
              <w:right w:w="85" w:type="dxa"/>
            </w:tcMar>
            <w:vAlign w:val="center"/>
          </w:tcPr>
          <w:p w14:paraId="3802B5E7">
            <w:pPr>
              <w:spacing w:before="20" w:after="20" w:line="264" w:lineRule="auto"/>
              <w:jc w:val="center"/>
            </w:pPr>
            <w:r>
              <w:rPr>
                <w:b w:val="0"/>
                <w:sz w:val="21"/>
              </w:rPr>
              <w:t>12.5分</w:t>
            </w:r>
          </w:p>
        </w:tc>
      </w:tr>
      <w:tr w14:paraId="752A89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4932" w:type="dxa"/>
            <w:shd w:val="clear" w:color="auto" w:fill="FFFFFF"/>
            <w:tcMar>
              <w:top w:w="65" w:type="dxa"/>
              <w:left w:w="85" w:type="dxa"/>
              <w:bottom w:w="65" w:type="dxa"/>
              <w:right w:w="85" w:type="dxa"/>
            </w:tcMar>
            <w:vAlign w:val="center"/>
          </w:tcPr>
          <w:p w14:paraId="11B3AC4B">
            <w:pPr>
              <w:spacing w:before="20" w:after="20" w:line="264" w:lineRule="auto"/>
              <w:jc w:val="center"/>
            </w:pPr>
            <w:r>
              <w:rPr>
                <w:b w:val="0"/>
                <w:sz w:val="21"/>
              </w:rPr>
              <w:t>100%</w:t>
            </w:r>
          </w:p>
        </w:tc>
        <w:tc>
          <w:tcPr>
            <w:tcW w:w="4989" w:type="dxa"/>
            <w:shd w:val="clear" w:color="auto" w:fill="FFFFFF"/>
            <w:tcMar>
              <w:top w:w="65" w:type="dxa"/>
              <w:left w:w="85" w:type="dxa"/>
              <w:bottom w:w="65" w:type="dxa"/>
              <w:right w:w="85" w:type="dxa"/>
            </w:tcMar>
            <w:vAlign w:val="center"/>
          </w:tcPr>
          <w:p w14:paraId="78499CC1">
            <w:pPr>
              <w:spacing w:before="20" w:after="20" w:line="264" w:lineRule="auto"/>
              <w:jc w:val="center"/>
            </w:pPr>
            <w:r>
              <w:rPr>
                <w:b w:val="0"/>
                <w:sz w:val="21"/>
              </w:rPr>
              <w:t>25分</w:t>
            </w:r>
          </w:p>
        </w:tc>
      </w:tr>
    </w:tbl>
    <w:p w14:paraId="640E37A9">
      <w:pPr>
        <w:widowControl/>
        <w:spacing w:after="20"/>
      </w:pPr>
      <w:r>
        <w:t>例如总体一致率90%，一致性得12.50分；92.4%得15.50分；100%得25分。实际按公式连续计分，不限于示例中的几个分数。</w:t>
      </w:r>
    </w:p>
    <w:p w14:paraId="2FC63A9F">
      <w:pPr>
        <w:pStyle w:val="4"/>
      </w:pPr>
      <w:r>
        <w:t>性能准入的80%门槛</w:t>
      </w:r>
    </w:p>
    <w:p w14:paraId="31405801">
      <w:pPr>
        <w:widowControl/>
      </w:pPr>
      <w:r>
        <w:rPr>
          <w:b w:val="0"/>
        </w:rPr>
        <w:t>性能资格逐负载判断：该负载完整运行、输出格式合格且一致率达到80%，才计算该负载性能分。低于80%或运行失败，仅该负载性能分为0；其他合格负载不受影响，基础运行分单独判断。</w:t>
      </w:r>
    </w:p>
    <w:p w14:paraId="20939053">
      <w:pPr>
        <w:widowControl/>
      </w:pPr>
      <w:r>
        <w:rPr>
          <w:b w:val="0"/>
        </w:rPr>
        <w:t>门槛使用原始一致率判断，不以显示时四舍五入的百分数判定。总体一致率达标不能替代各负载的性能准入检查。</w:t>
      </w:r>
    </w:p>
    <w:p w14:paraId="79829A2E">
      <w:pPr>
        <w:pStyle w:val="3"/>
        <w:pageBreakBefore w:val="0"/>
      </w:pPr>
      <w:r>
        <w:t>十 性能评分与工程报告评分</w:t>
      </w:r>
    </w:p>
    <w:p w14:paraId="2127CABF">
      <w:pPr>
        <w:pStyle w:val="4"/>
      </w:pPr>
      <w:r>
        <w:t>性能40分</w:t>
      </w:r>
    </w:p>
    <w:p w14:paraId="08EBBB5E">
      <w:pPr>
        <w:widowControl/>
      </w:pPr>
      <w:r>
        <w:rPr>
          <w:b w:val="0"/>
        </w:rPr>
        <w:t>四种负载各占10分。对每一种负载，比较所有通过该负载性能准入、使用同规格资源和相同卡数的队伍。本队该负载一次计时的完整耗时记为T；所有合格队伍中最短的有效耗时记为T_min。</w:t>
      </w:r>
    </w:p>
    <w:p w14:paraId="20F7EE11">
      <w:pPr>
        <w:keepLines/>
        <w:widowControl/>
        <w:spacing w:before="80" w:after="160"/>
        <w:jc w:val="center"/>
      </w:pPr>
      <m:oMathPara>
        <m:oMath>
          <m:r>
            <m:rPr/>
            <m:t>单项性能分 = 10 × 该负载所有合格队伍最短耗时 ÷ 本队耗时</m:t>
          </m:r>
        </m:oMath>
      </m:oMathPara>
    </w:p>
    <w:p w14:paraId="48C4EB59">
      <w:pPr>
        <w:widowControl/>
      </w:pPr>
      <w:r>
        <w:rPr>
          <w:b w:val="0"/>
        </w:rPr>
        <w:t>该负载最快的队伍得到10分，其他队伍按比例得分。四项相加最多40分。计时值须有效、有限且大于0；无合格队伍的负载全部得0分。最快时间来自该负载全体合格队伍，不是FP32基准时间或本队优化前时间。</w:t>
      </w:r>
    </w:p>
    <w:p w14:paraId="58A53808">
      <w:pPr>
        <w:widowControl/>
      </w:pPr>
      <w:r>
        <w:rPr>
          <w:b w:val="0"/>
        </w:rPr>
        <w:t>例如某负载所有合格队伍中的最短耗时为2.00秒，本队为2.50秒，该项得10×2.00÷2.50＝8.00分。若某队成绩无效，按剩余有效记录重新计算。</w:t>
      </w:r>
    </w:p>
    <w:p w14:paraId="3CB97C6E">
      <w:pPr>
        <w:pStyle w:val="4"/>
      </w:pPr>
      <w:r>
        <w:t>工程报告10分</w:t>
      </w:r>
    </w:p>
    <w:p w14:paraId="4231C2E2">
      <w:pPr>
        <w:widowControl/>
      </w:pPr>
      <w:r>
        <w:rPr>
          <w:b w:val="0"/>
        </w:rPr>
        <w:t>每支队伍提交优化报告，不设置现场答辩或独立创新性分。工程报告满分10分，从运行说明、优化说明、实验与总结三方面评分。报告内容须与提交代码及实验记录一致，未达到预期的实验可纳入分析。</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757"/>
        <w:gridCol w:w="680"/>
        <w:gridCol w:w="7483"/>
      </w:tblGrid>
      <w:tr w14:paraId="516018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1757" w:type="dxa"/>
            <w:shd w:val="clear" w:color="auto" w:fill="E8EDF2"/>
            <w:tcMar>
              <w:top w:w="65" w:type="dxa"/>
              <w:left w:w="85" w:type="dxa"/>
              <w:bottom w:w="65" w:type="dxa"/>
              <w:right w:w="85" w:type="dxa"/>
            </w:tcMar>
            <w:vAlign w:val="center"/>
          </w:tcPr>
          <w:p w14:paraId="45A23682">
            <w:pPr>
              <w:spacing w:before="20" w:after="20" w:line="264" w:lineRule="auto"/>
              <w:jc w:val="center"/>
            </w:pPr>
            <w:r>
              <w:rPr>
                <w:b/>
                <w:sz w:val="20"/>
              </w:rPr>
              <w:t>评分内容</w:t>
            </w:r>
          </w:p>
        </w:tc>
        <w:tc>
          <w:tcPr>
            <w:tcW w:w="680" w:type="dxa"/>
            <w:shd w:val="clear" w:color="auto" w:fill="E8EDF2"/>
            <w:tcMar>
              <w:top w:w="65" w:type="dxa"/>
              <w:left w:w="85" w:type="dxa"/>
              <w:bottom w:w="65" w:type="dxa"/>
              <w:right w:w="85" w:type="dxa"/>
            </w:tcMar>
            <w:vAlign w:val="center"/>
          </w:tcPr>
          <w:p w14:paraId="13134EB8">
            <w:pPr>
              <w:spacing w:before="20" w:after="20" w:line="264" w:lineRule="auto"/>
              <w:jc w:val="center"/>
            </w:pPr>
            <w:r>
              <w:rPr>
                <w:b/>
                <w:sz w:val="20"/>
              </w:rPr>
              <w:t>满分</w:t>
            </w:r>
          </w:p>
        </w:tc>
        <w:tc>
          <w:tcPr>
            <w:tcW w:w="7483" w:type="dxa"/>
            <w:shd w:val="clear" w:color="auto" w:fill="E8EDF2"/>
            <w:tcMar>
              <w:top w:w="65" w:type="dxa"/>
              <w:left w:w="85" w:type="dxa"/>
              <w:bottom w:w="65" w:type="dxa"/>
              <w:right w:w="85" w:type="dxa"/>
            </w:tcMar>
            <w:vAlign w:val="center"/>
          </w:tcPr>
          <w:p w14:paraId="0465A6F0">
            <w:pPr>
              <w:spacing w:before="20" w:after="20" w:line="264" w:lineRule="auto"/>
              <w:jc w:val="center"/>
            </w:pPr>
            <w:r>
              <w:rPr>
                <w:b/>
                <w:sz w:val="20"/>
              </w:rPr>
              <w:t>评审要点</w:t>
            </w:r>
          </w:p>
        </w:tc>
      </w:tr>
      <w:tr w14:paraId="0EFD2A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57" w:type="dxa"/>
            <w:shd w:val="clear" w:color="auto" w:fill="FFFFFF"/>
            <w:tcMar>
              <w:top w:w="65" w:type="dxa"/>
              <w:left w:w="85" w:type="dxa"/>
              <w:bottom w:w="65" w:type="dxa"/>
              <w:right w:w="85" w:type="dxa"/>
            </w:tcMar>
            <w:vAlign w:val="center"/>
          </w:tcPr>
          <w:p w14:paraId="078DE5A9">
            <w:pPr>
              <w:spacing w:before="20" w:after="20" w:line="264" w:lineRule="auto"/>
              <w:jc w:val="left"/>
            </w:pPr>
            <w:r>
              <w:rPr>
                <w:b w:val="0"/>
                <w:sz w:val="20"/>
              </w:rPr>
              <w:t>运行说明</w:t>
            </w:r>
          </w:p>
        </w:tc>
        <w:tc>
          <w:tcPr>
            <w:tcW w:w="680" w:type="dxa"/>
            <w:shd w:val="clear" w:color="auto" w:fill="FFFFFF"/>
            <w:tcMar>
              <w:top w:w="65" w:type="dxa"/>
              <w:left w:w="85" w:type="dxa"/>
              <w:bottom w:w="65" w:type="dxa"/>
              <w:right w:w="85" w:type="dxa"/>
            </w:tcMar>
            <w:vAlign w:val="center"/>
          </w:tcPr>
          <w:p w14:paraId="0DD8A647">
            <w:pPr>
              <w:spacing w:before="20" w:after="20" w:line="264" w:lineRule="auto"/>
              <w:jc w:val="center"/>
            </w:pPr>
            <w:r>
              <w:rPr>
                <w:b w:val="0"/>
                <w:sz w:val="20"/>
              </w:rPr>
              <w:t>3分</w:t>
            </w:r>
          </w:p>
        </w:tc>
        <w:tc>
          <w:tcPr>
            <w:tcW w:w="7483" w:type="dxa"/>
            <w:shd w:val="clear" w:color="auto" w:fill="FFFFFF"/>
            <w:tcMar>
              <w:top w:w="65" w:type="dxa"/>
              <w:left w:w="85" w:type="dxa"/>
              <w:bottom w:w="65" w:type="dxa"/>
              <w:right w:w="85" w:type="dxa"/>
            </w:tcMar>
            <w:vAlign w:val="center"/>
          </w:tcPr>
          <w:p w14:paraId="7DBE0055">
            <w:pPr>
              <w:spacing w:before="20" w:after="20" w:line="264" w:lineRule="auto"/>
              <w:jc w:val="left"/>
            </w:pPr>
            <w:r>
              <w:rPr>
                <w:b w:val="0"/>
                <w:sz w:val="20"/>
              </w:rPr>
              <w:t>报告中实验环境、代码组织及运行步骤的完整性与可复现性。报告须提供程序入口、运行命令及必要准备步骤。</w:t>
            </w:r>
          </w:p>
        </w:tc>
      </w:tr>
      <w:tr w14:paraId="34F76F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57" w:type="dxa"/>
            <w:shd w:val="clear" w:color="auto" w:fill="FFFFFF"/>
            <w:tcMar>
              <w:top w:w="65" w:type="dxa"/>
              <w:left w:w="85" w:type="dxa"/>
              <w:bottom w:w="65" w:type="dxa"/>
              <w:right w:w="85" w:type="dxa"/>
            </w:tcMar>
            <w:vAlign w:val="center"/>
          </w:tcPr>
          <w:p w14:paraId="208571F1">
            <w:pPr>
              <w:spacing w:before="20" w:after="20" w:line="264" w:lineRule="auto"/>
              <w:jc w:val="left"/>
            </w:pPr>
            <w:r>
              <w:rPr>
                <w:b w:val="0"/>
                <w:sz w:val="20"/>
              </w:rPr>
              <w:t>优化说明</w:t>
            </w:r>
          </w:p>
        </w:tc>
        <w:tc>
          <w:tcPr>
            <w:tcW w:w="680" w:type="dxa"/>
            <w:shd w:val="clear" w:color="auto" w:fill="FFFFFF"/>
            <w:tcMar>
              <w:top w:w="65" w:type="dxa"/>
              <w:left w:w="85" w:type="dxa"/>
              <w:bottom w:w="65" w:type="dxa"/>
              <w:right w:w="85" w:type="dxa"/>
            </w:tcMar>
            <w:vAlign w:val="center"/>
          </w:tcPr>
          <w:p w14:paraId="3B11655D">
            <w:pPr>
              <w:spacing w:before="20" w:after="20" w:line="264" w:lineRule="auto"/>
              <w:jc w:val="center"/>
            </w:pPr>
            <w:r>
              <w:rPr>
                <w:b w:val="0"/>
                <w:sz w:val="20"/>
              </w:rPr>
              <w:t>4分</w:t>
            </w:r>
          </w:p>
        </w:tc>
        <w:tc>
          <w:tcPr>
            <w:tcW w:w="7483" w:type="dxa"/>
            <w:shd w:val="clear" w:color="auto" w:fill="FFFFFF"/>
            <w:tcMar>
              <w:top w:w="65" w:type="dxa"/>
              <w:left w:w="85" w:type="dxa"/>
              <w:bottom w:w="65" w:type="dxa"/>
              <w:right w:w="85" w:type="dxa"/>
            </w:tcMar>
            <w:vAlign w:val="center"/>
          </w:tcPr>
          <w:p w14:paraId="008F9DED">
            <w:pPr>
              <w:spacing w:before="20" w:after="20" w:line="264" w:lineRule="auto"/>
              <w:jc w:val="left"/>
            </w:pPr>
            <w:r>
              <w:rPr>
                <w:b w:val="0"/>
                <w:sz w:val="20"/>
              </w:rPr>
              <w:t>性能瓶颈、代码修改、实现方法及优化原理。</w:t>
            </w:r>
          </w:p>
        </w:tc>
      </w:tr>
      <w:tr w14:paraId="0831BE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1757" w:type="dxa"/>
            <w:shd w:val="clear" w:color="auto" w:fill="FFFFFF"/>
            <w:tcMar>
              <w:top w:w="65" w:type="dxa"/>
              <w:left w:w="85" w:type="dxa"/>
              <w:bottom w:w="65" w:type="dxa"/>
              <w:right w:w="85" w:type="dxa"/>
            </w:tcMar>
            <w:vAlign w:val="center"/>
          </w:tcPr>
          <w:p w14:paraId="04256EAD">
            <w:pPr>
              <w:spacing w:before="20" w:after="20" w:line="264" w:lineRule="auto"/>
              <w:jc w:val="left"/>
            </w:pPr>
            <w:r>
              <w:rPr>
                <w:b w:val="0"/>
                <w:sz w:val="20"/>
              </w:rPr>
              <w:t>实验与总结</w:t>
            </w:r>
          </w:p>
        </w:tc>
        <w:tc>
          <w:tcPr>
            <w:tcW w:w="680" w:type="dxa"/>
            <w:shd w:val="clear" w:color="auto" w:fill="FFFFFF"/>
            <w:tcMar>
              <w:top w:w="65" w:type="dxa"/>
              <w:left w:w="85" w:type="dxa"/>
              <w:bottom w:w="65" w:type="dxa"/>
              <w:right w:w="85" w:type="dxa"/>
            </w:tcMar>
            <w:vAlign w:val="center"/>
          </w:tcPr>
          <w:p w14:paraId="64C8EC3B">
            <w:pPr>
              <w:spacing w:before="20" w:after="20" w:line="264" w:lineRule="auto"/>
              <w:jc w:val="center"/>
            </w:pPr>
            <w:r>
              <w:rPr>
                <w:b w:val="0"/>
                <w:sz w:val="20"/>
              </w:rPr>
              <w:t>3分</w:t>
            </w:r>
          </w:p>
        </w:tc>
        <w:tc>
          <w:tcPr>
            <w:tcW w:w="7483" w:type="dxa"/>
            <w:shd w:val="clear" w:color="auto" w:fill="FFFFFF"/>
            <w:tcMar>
              <w:top w:w="65" w:type="dxa"/>
              <w:left w:w="85" w:type="dxa"/>
              <w:bottom w:w="65" w:type="dxa"/>
              <w:right w:w="85" w:type="dxa"/>
            </w:tcMar>
            <w:vAlign w:val="center"/>
          </w:tcPr>
          <w:p w14:paraId="577BBC9C">
            <w:pPr>
              <w:spacing w:before="20" w:after="20" w:line="264" w:lineRule="auto"/>
              <w:jc w:val="left"/>
            </w:pPr>
            <w:r>
              <w:rPr>
                <w:b w:val="0"/>
                <w:sz w:val="20"/>
              </w:rPr>
              <w:t>四种负载的性能与一致性结果、实验分析、成员分工及参考来源。</w:t>
            </w:r>
          </w:p>
        </w:tc>
      </w:tr>
    </w:tbl>
    <w:p w14:paraId="356819E2">
      <w:pPr>
        <w:widowControl/>
        <w:spacing w:after="20"/>
      </w:pPr>
    </w:p>
    <w:p w14:paraId="50EF4ABE">
      <w:pPr>
        <w:widowControl/>
      </w:pPr>
      <w:r>
        <w:rPr>
          <w:b w:val="0"/>
        </w:rPr>
        <w:t>报告模板位于docs/报告模板.docx。填写队伍名称、成员姓名、班级和学号，并标注队长。报告包括摘要、实验环境与运行说明、程序结构与优化实现、实验结果、总结与成员分工及参考来源。实验结果保留推理性能对比、结果一致性与显存两张表，显存为可选项。运行命令和必要准备步骤统一写入报告，不再另交作品README。实验数据须与最终源码、原始JSON及日志对应。</w:t>
      </w:r>
    </w:p>
    <w:p w14:paraId="3BA9E520">
      <w:pPr>
        <w:pStyle w:val="4"/>
      </w:pPr>
      <w:r>
        <w:t>总成绩与排名</w:t>
      </w:r>
    </w:p>
    <w:p w14:paraId="7CE0FF77">
      <w:pPr>
        <w:keepLines/>
        <w:widowControl/>
        <w:spacing w:before="80" w:after="160"/>
        <w:jc w:val="center"/>
        <w:rPr>
          <w:i w:val="0"/>
          <w:iCs/>
        </w:rPr>
      </w:pPr>
      <m:oMathPara>
        <m:oMath>
          <m:r>
            <m:rPr>
              <m:sty m:val="p"/>
            </m:rPr>
            <w:rPr>
              <w:rFonts w:ascii="Cambria Math" w:hAnsi="Cambria Math" w:eastAsia="宋体"/>
              <w:sz w:val="24"/>
            </w:rPr>
            <m:t>总成绩 ＝ 基础运行分 ＋ 一致性分 ＋ 性能分 ＋ 报告分</m:t>
          </m:r>
        </m:oMath>
      </m:oMathPara>
    </w:p>
    <w:p w14:paraId="38C66481">
      <w:pPr>
        <w:widowControl/>
      </w:pPr>
      <w:r>
        <w:rPr>
          <w:b w:val="0"/>
        </w:rPr>
        <w:t>正常完成以JSON原始数值为准；异常时仅有可核验日志的，按日志记录值核算。最终成绩四舍五入保留两位小数。按未舍入总分从高到低排名；同分时总体一致率较高者优先，仍相同则并列。</w:t>
      </w:r>
    </w:p>
    <w:p w14:paraId="59106FA5">
      <w:pPr>
        <w:pStyle w:val="4"/>
      </w:pPr>
      <w:r>
        <w:t>总成绩计算示例</w:t>
      </w:r>
    </w:p>
    <w:p w14:paraId="66C2EA2A">
      <w:pPr>
        <w:widowControl/>
      </w:pPr>
      <w:r>
        <w:rPr>
          <w:b w:val="0"/>
        </w:rPr>
        <w:t>假设某队四项测试任务全部完成、输出100%一致，工程报告得8分。本队四项耗时分别为10.0、10.0、20.0、4.0秒，各项最快合格耗时分别为8.0、8.0、16.0、3.2秒。</w:t>
      </w:r>
    </w:p>
    <w:p w14:paraId="37503F7E">
      <w:pPr>
        <w:widowControl/>
      </w:pPr>
      <w:r>
        <w:rPr>
          <w:b w:val="0"/>
        </w:rPr>
        <w:t>四项性能分均为8分，合计32分。例如任务1得分为10×8.0÷10.0＝8分。基础运行25分、结果一致性25分，故总成绩为25＋25＋32＋8＝90分。</w:t>
      </w:r>
    </w:p>
    <w:p w14:paraId="613BB041">
      <w:pPr>
        <w:pStyle w:val="3"/>
        <w:pageBreakBefore w:val="0"/>
      </w:pPr>
      <w:r>
        <w:t>十一 注意事项与异常处理</w:t>
      </w:r>
    </w:p>
    <w:p w14:paraId="3DB2B693">
      <w:pPr>
        <w:pStyle w:val="4"/>
      </w:pPr>
      <w:r>
        <w:t>公平使用资源</w:t>
      </w:r>
    </w:p>
    <w:p w14:paraId="394A15D9">
      <w:pPr>
        <w:widowControl/>
        <w:spacing w:after="100"/>
        <w:ind w:left="204" w:hanging="204"/>
      </w:pPr>
      <w:r>
        <w:rPr>
          <w:b w:val="0"/>
        </w:rPr>
        <w:t>1. 使用比赛分配的DCU账号与设备。性能计分记录须使用同规格资源和相同卡数；默认设备接口为cuda:0，不得私自使用其他卡、远程服务器或外部计算服务。</w:t>
      </w:r>
    </w:p>
    <w:p w14:paraId="232B4195">
      <w:pPr>
        <w:widowControl/>
        <w:spacing w:after="100"/>
        <w:ind w:left="204" w:hanging="204"/>
      </w:pPr>
      <w:r>
        <w:rPr>
          <w:b w:val="0"/>
        </w:rPr>
        <w:t>2. 不得使用CPU多线程或多进程进行性能优化。CPU可完成必要的控制、Tokenizer及结果转换；不能把规定的DCU推理任务转移到CPU或其他设备执行。</w:t>
      </w:r>
    </w:p>
    <w:p w14:paraId="59274514">
      <w:pPr>
        <w:widowControl/>
        <w:spacing w:after="100"/>
        <w:ind w:left="204" w:hanging="204"/>
      </w:pPr>
      <w:r>
        <w:rPr>
          <w:b w:val="0"/>
        </w:rPr>
        <w:t>3. 作品应能在所声明环境中离线运行。不得在计时生成期间联网下载代码、模型或依赖，也不得安装、编译或启动额外训练。</w:t>
      </w:r>
    </w:p>
    <w:p w14:paraId="2518AAB7">
      <w:pPr>
        <w:widowControl/>
        <w:spacing w:after="100"/>
        <w:ind w:left="204" w:hanging="204"/>
      </w:pPr>
      <w:r>
        <w:rPr>
          <w:b w:val="0"/>
        </w:rPr>
        <w:t>4. 额外依赖、编译器与构建方式应在报告的运行说明中写明，并提交必要源码和脚本，不能只提交个人容器内已有的二进制文件。</w:t>
      </w:r>
    </w:p>
    <w:p w14:paraId="69B24560">
      <w:pPr>
        <w:pStyle w:val="4"/>
      </w:pPr>
      <w:r>
        <w:t>不得规避任务或篡改记录</w:t>
      </w:r>
    </w:p>
    <w:p w14:paraId="3FFC916C">
      <w:pPr>
        <w:widowControl/>
        <w:spacing w:after="100"/>
        <w:ind w:left="204" w:hanging="204"/>
      </w:pPr>
      <w:r>
        <w:rPr>
          <w:b w:val="0"/>
        </w:rPr>
        <w:t>1. 不得修改测试程序、参考答案、公共Tokenizer或规定输入；不得绕过真实推理、硬编码或查表返回答案。</w:t>
      </w:r>
    </w:p>
    <w:p w14:paraId="51F9C68A">
      <w:pPr>
        <w:widowControl/>
        <w:spacing w:after="100"/>
        <w:ind w:left="204" w:hanging="204"/>
      </w:pPr>
      <w:r>
        <w:rPr>
          <w:b w:val="0"/>
        </w:rPr>
        <w:t>2. 不得改变B、L、G，少生成、提前停止、以复制结果代替各输入的真实推理，或为正确性和性能使用不同程序行为。真实推理自然产生相同后缀不属于违规。</w:t>
      </w:r>
    </w:p>
    <w:p w14:paraId="0915BB07">
      <w:pPr>
        <w:widowControl/>
        <w:spacing w:after="100"/>
        <w:ind w:left="204" w:hanging="204"/>
      </w:pPr>
      <w:r>
        <w:rPr>
          <w:b w:val="0"/>
        </w:rPr>
        <w:t>3. 不得跨请求复用生成结果或输入相关KV；不得根据测试次数读取上次结果来缩短耗时。</w:t>
      </w:r>
    </w:p>
    <w:p w14:paraId="67EC3AD2">
      <w:pPr>
        <w:widowControl/>
        <w:spacing w:after="100"/>
        <w:ind w:left="204" w:hanging="204"/>
      </w:pPr>
      <w:r>
        <w:rPr>
          <w:b w:val="0"/>
        </w:rPr>
        <w:t>4. 不得干扰设备同步或计时，不得伪造日志、报告和输出。规定输入可用于调试，不能据此编写直接返回参考答案的逻辑。</w:t>
      </w:r>
    </w:p>
    <w:p w14:paraId="58DD8A7E">
      <w:pPr>
        <w:pStyle w:val="4"/>
      </w:pPr>
      <w:r>
        <w:t>异常处理</w:t>
      </w:r>
    </w:p>
    <w:tbl>
      <w:tblPr>
        <w:tblStyle w:val="33"/>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118"/>
        <w:gridCol w:w="6803"/>
      </w:tblGrid>
      <w:tr w14:paraId="2EA79E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jc w:val="center"/>
        </w:trPr>
        <w:tc>
          <w:tcPr>
            <w:tcW w:w="3118" w:type="dxa"/>
            <w:shd w:val="clear" w:color="auto" w:fill="E8EDF2"/>
            <w:tcMar>
              <w:top w:w="65" w:type="dxa"/>
              <w:left w:w="85" w:type="dxa"/>
              <w:bottom w:w="65" w:type="dxa"/>
              <w:right w:w="85" w:type="dxa"/>
            </w:tcMar>
            <w:vAlign w:val="center"/>
          </w:tcPr>
          <w:p w14:paraId="295C6799">
            <w:pPr>
              <w:spacing w:before="20" w:after="20" w:line="264" w:lineRule="auto"/>
              <w:jc w:val="center"/>
            </w:pPr>
            <w:r>
              <w:rPr>
                <w:b/>
                <w:sz w:val="19"/>
              </w:rPr>
              <w:t>情况</w:t>
            </w:r>
          </w:p>
        </w:tc>
        <w:tc>
          <w:tcPr>
            <w:tcW w:w="6803" w:type="dxa"/>
            <w:shd w:val="clear" w:color="auto" w:fill="E8EDF2"/>
            <w:tcMar>
              <w:top w:w="65" w:type="dxa"/>
              <w:left w:w="85" w:type="dxa"/>
              <w:bottom w:w="65" w:type="dxa"/>
              <w:right w:w="85" w:type="dxa"/>
            </w:tcMar>
            <w:vAlign w:val="center"/>
          </w:tcPr>
          <w:p w14:paraId="305BA6F9">
            <w:pPr>
              <w:spacing w:before="20" w:after="20" w:line="264" w:lineRule="auto"/>
              <w:jc w:val="center"/>
            </w:pPr>
            <w:r>
              <w:rPr>
                <w:b/>
                <w:sz w:val="19"/>
              </w:rPr>
              <w:t>处理方式</w:t>
            </w:r>
          </w:p>
        </w:tc>
      </w:tr>
      <w:tr w14:paraId="4E797D9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18" w:type="dxa"/>
            <w:shd w:val="clear" w:color="auto" w:fill="FFFFFF"/>
            <w:tcMar>
              <w:top w:w="65" w:type="dxa"/>
              <w:left w:w="85" w:type="dxa"/>
              <w:bottom w:w="65" w:type="dxa"/>
              <w:right w:w="85" w:type="dxa"/>
            </w:tcMar>
            <w:vAlign w:val="center"/>
          </w:tcPr>
          <w:p w14:paraId="2E4FF967">
            <w:pPr>
              <w:spacing w:before="20" w:after="20" w:line="264" w:lineRule="auto"/>
              <w:jc w:val="left"/>
            </w:pPr>
            <w:r>
              <w:rPr>
                <w:b w:val="0"/>
                <w:sz w:val="19"/>
              </w:rPr>
              <w:t>单个负载失败或输出结构不合格</w:t>
            </w:r>
          </w:p>
        </w:tc>
        <w:tc>
          <w:tcPr>
            <w:tcW w:w="6803" w:type="dxa"/>
            <w:shd w:val="clear" w:color="auto" w:fill="FFFFFF"/>
            <w:tcMar>
              <w:top w:w="65" w:type="dxa"/>
              <w:left w:w="85" w:type="dxa"/>
              <w:bottom w:w="65" w:type="dxa"/>
              <w:right w:w="85" w:type="dxa"/>
            </w:tcMar>
            <w:vAlign w:val="center"/>
          </w:tcPr>
          <w:p w14:paraId="37978F8A">
            <w:pPr>
              <w:spacing w:before="20" w:after="20" w:line="264" w:lineRule="auto"/>
              <w:jc w:val="left"/>
            </w:pPr>
            <w:r>
              <w:rPr>
                <w:b w:val="0"/>
                <w:sz w:val="19"/>
              </w:rPr>
              <w:t>基础运行项0分；失败负载一致率和性能分均0。其他可核验负载正常计分，报告独立评分。</w:t>
            </w:r>
          </w:p>
        </w:tc>
      </w:tr>
      <w:tr w14:paraId="46F4D4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18" w:type="dxa"/>
            <w:shd w:val="clear" w:color="auto" w:fill="FFFFFF"/>
            <w:tcMar>
              <w:top w:w="65" w:type="dxa"/>
              <w:left w:w="85" w:type="dxa"/>
              <w:bottom w:w="65" w:type="dxa"/>
              <w:right w:w="85" w:type="dxa"/>
            </w:tcMar>
            <w:vAlign w:val="center"/>
          </w:tcPr>
          <w:p w14:paraId="65AB01ED">
            <w:pPr>
              <w:spacing w:before="20" w:after="20" w:line="264" w:lineRule="auto"/>
              <w:jc w:val="left"/>
            </w:pPr>
            <w:r>
              <w:rPr>
                <w:b w:val="0"/>
                <w:sz w:val="19"/>
              </w:rPr>
              <w:t>输出合格但某负载一致率低于80%</w:t>
            </w:r>
          </w:p>
        </w:tc>
        <w:tc>
          <w:tcPr>
            <w:tcW w:w="6803" w:type="dxa"/>
            <w:shd w:val="clear" w:color="auto" w:fill="FFFFFF"/>
            <w:tcMar>
              <w:top w:w="65" w:type="dxa"/>
              <w:left w:w="85" w:type="dxa"/>
              <w:bottom w:w="65" w:type="dxa"/>
              <w:right w:w="85" w:type="dxa"/>
            </w:tcMar>
            <w:vAlign w:val="center"/>
          </w:tcPr>
          <w:p w14:paraId="4196744C">
            <w:pPr>
              <w:spacing w:before="20" w:after="20" w:line="264" w:lineRule="auto"/>
              <w:jc w:val="left"/>
            </w:pPr>
            <w:r>
              <w:rPr>
                <w:b w:val="0"/>
                <w:sz w:val="19"/>
              </w:rPr>
              <w:t>该负载性能为0；按实际各负载一致率计算一致性分。</w:t>
            </w:r>
          </w:p>
        </w:tc>
      </w:tr>
      <w:tr w14:paraId="4DF6D3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18" w:type="dxa"/>
            <w:shd w:val="clear" w:color="auto" w:fill="FFFFFF"/>
            <w:tcMar>
              <w:top w:w="65" w:type="dxa"/>
              <w:left w:w="85" w:type="dxa"/>
              <w:bottom w:w="65" w:type="dxa"/>
              <w:right w:w="85" w:type="dxa"/>
            </w:tcMar>
            <w:vAlign w:val="center"/>
          </w:tcPr>
          <w:p w14:paraId="19D2785D">
            <w:pPr>
              <w:spacing w:before="20" w:after="20" w:line="264" w:lineRule="auto"/>
              <w:jc w:val="left"/>
            </w:pPr>
            <w:r>
              <w:rPr>
                <w:b w:val="0"/>
                <w:sz w:val="19"/>
              </w:rPr>
              <w:t>所有负载均无法运行或无可解析结果</w:t>
            </w:r>
          </w:p>
        </w:tc>
        <w:tc>
          <w:tcPr>
            <w:tcW w:w="6803" w:type="dxa"/>
            <w:shd w:val="clear" w:color="auto" w:fill="FFFFFF"/>
            <w:tcMar>
              <w:top w:w="65" w:type="dxa"/>
              <w:left w:w="85" w:type="dxa"/>
              <w:bottom w:w="65" w:type="dxa"/>
              <w:right w:w="85" w:type="dxa"/>
            </w:tcMar>
            <w:vAlign w:val="center"/>
          </w:tcPr>
          <w:p w14:paraId="41C28EB9">
            <w:pPr>
              <w:spacing w:before="20" w:after="20" w:line="264" w:lineRule="auto"/>
              <w:jc w:val="left"/>
            </w:pPr>
            <w:r>
              <w:rPr>
                <w:b w:val="0"/>
                <w:sz w:val="19"/>
              </w:rPr>
              <w:t>基础运行、一致性、性能均0；报告按实际提交内容评分。</w:t>
            </w:r>
          </w:p>
        </w:tc>
      </w:tr>
      <w:tr w14:paraId="55255C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18" w:type="dxa"/>
            <w:shd w:val="clear" w:color="auto" w:fill="FFFFFF"/>
            <w:tcMar>
              <w:top w:w="65" w:type="dxa"/>
              <w:left w:w="85" w:type="dxa"/>
              <w:bottom w:w="65" w:type="dxa"/>
              <w:right w:w="85" w:type="dxa"/>
            </w:tcMar>
            <w:vAlign w:val="center"/>
          </w:tcPr>
          <w:p w14:paraId="5C494845">
            <w:pPr>
              <w:spacing w:before="20" w:after="20" w:line="264" w:lineRule="auto"/>
              <w:jc w:val="left"/>
            </w:pPr>
            <w:r>
              <w:rPr>
                <w:b w:val="0"/>
                <w:sz w:val="19"/>
              </w:rPr>
              <w:t>设备或平台故障</w:t>
            </w:r>
          </w:p>
        </w:tc>
        <w:tc>
          <w:tcPr>
            <w:tcW w:w="6803" w:type="dxa"/>
            <w:shd w:val="clear" w:color="auto" w:fill="FFFFFF"/>
            <w:tcMar>
              <w:top w:w="65" w:type="dxa"/>
              <w:left w:w="85" w:type="dxa"/>
              <w:bottom w:w="65" w:type="dxa"/>
              <w:right w:w="85" w:type="dxa"/>
            </w:tcMar>
            <w:vAlign w:val="center"/>
          </w:tcPr>
          <w:p w14:paraId="4DB9BE2E">
            <w:pPr>
              <w:spacing w:before="20" w:after="20" w:line="264" w:lineRule="auto"/>
              <w:jc w:val="left"/>
            </w:pPr>
            <w:r>
              <w:rPr>
                <w:b w:val="0"/>
                <w:sz w:val="19"/>
              </w:rPr>
              <w:t>保留日志反馈，经核实后重新测试。</w:t>
            </w:r>
          </w:p>
        </w:tc>
      </w:tr>
      <w:tr w14:paraId="6DD13E0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3118" w:type="dxa"/>
            <w:shd w:val="clear" w:color="auto" w:fill="FFFFFF"/>
            <w:tcMar>
              <w:top w:w="65" w:type="dxa"/>
              <w:left w:w="85" w:type="dxa"/>
              <w:bottom w:w="65" w:type="dxa"/>
              <w:right w:w="85" w:type="dxa"/>
            </w:tcMar>
            <w:vAlign w:val="center"/>
          </w:tcPr>
          <w:p w14:paraId="65135C75">
            <w:pPr>
              <w:spacing w:before="20" w:after="20" w:line="264" w:lineRule="auto"/>
              <w:jc w:val="left"/>
            </w:pPr>
            <w:r>
              <w:rPr>
                <w:b w:val="0"/>
                <w:sz w:val="19"/>
              </w:rPr>
              <w:t>硬编码答案 伪造结果 越权资源</w:t>
            </w:r>
          </w:p>
        </w:tc>
        <w:tc>
          <w:tcPr>
            <w:tcW w:w="6803" w:type="dxa"/>
            <w:shd w:val="clear" w:color="auto" w:fill="FFFFFF"/>
            <w:tcMar>
              <w:top w:w="65" w:type="dxa"/>
              <w:left w:w="85" w:type="dxa"/>
              <w:bottom w:w="65" w:type="dxa"/>
              <w:right w:w="85" w:type="dxa"/>
            </w:tcMar>
            <w:vAlign w:val="center"/>
          </w:tcPr>
          <w:p w14:paraId="7A7FE2BA">
            <w:pPr>
              <w:spacing w:before="20" w:after="20" w:line="264" w:lineRule="auto"/>
              <w:jc w:val="center"/>
            </w:pPr>
            <w:r>
              <w:rPr>
                <w:b w:val="0"/>
                <w:sz w:val="19"/>
              </w:rPr>
              <w:t>成绩无效。</w:t>
            </w:r>
          </w:p>
        </w:tc>
      </w:tr>
    </w:tbl>
    <w:p w14:paraId="25C50310">
      <w:pPr>
        <w:widowControl/>
        <w:spacing w:after="20"/>
      </w:pPr>
    </w:p>
    <w:p w14:paraId="47A2E6C3">
      <w:pPr>
        <w:widowControl/>
      </w:pPr>
      <w:r>
        <w:rPr>
          <w:b w:val="0"/>
        </w:rPr>
        <w:t>发生依赖或环境问题时，应提供实际环境、完整命令和报错日志，在比赛群反馈。不得自行扩大分配资源或改动任务配置。</w:t>
      </w:r>
    </w:p>
    <w:p w14:paraId="43A42AA4">
      <w:pPr>
        <w:widowControl/>
      </w:pPr>
      <w:r>
        <w:rPr>
          <w:b w:val="0"/>
        </w:rPr>
        <w:t>当前测试器遇到异常会退出，仅在全部负载成功后写入完整JSON。若中途失败，提交本轮完整日志并说明原因：已完成且记录可核验的负载可据日志计算，失败或未执行的负载一致率及性能分记0。旧的同名JSON不能作为本轮结果；不得手工补造或修改结果。</w:t>
      </w:r>
    </w:p>
    <w:p w14:paraId="264585EC">
      <w:pPr>
        <w:pStyle w:val="3"/>
        <w:pageBreakBefore w:val="0"/>
      </w:pPr>
      <w:r>
        <w:t>十二 作品提交与完成检查</w:t>
      </w:r>
    </w:p>
    <w:p w14:paraId="76204E20">
      <w:pPr>
        <w:widowControl/>
      </w:pPr>
      <w:r>
        <w:rPr>
          <w:b w:val="0"/>
        </w:rPr>
        <w:t>每支队伍提交1个ZIP，包含完整优化源码、优化报告及实验记录。运行方法统一写入报告，学生不再另写README。所有负载由同一套程序处理，脚本自动切换任务，学生不需要手动切换四种负载。具体材料要求见docs/SUBMISSION.md。</w:t>
      </w:r>
    </w:p>
    <w:p w14:paraId="02D2ED40">
      <w:pPr>
        <w:pStyle w:val="4"/>
      </w:pPr>
      <w:r>
        <w:t>压缩包内容</w:t>
      </w:r>
    </w:p>
    <w:p w14:paraId="04C4E243">
      <w:pPr>
        <w:keepLines/>
        <w:widowControl/>
        <w:spacing w:before="40" w:after="120" w:line="252" w:lineRule="auto"/>
      </w:pPr>
      <w:r>
        <w:rPr>
          <w:rFonts w:ascii="Consolas" w:hAnsi="Consolas" w:eastAsia="宋体"/>
          <w:sz w:val="19"/>
        </w:rPr>
        <w:t>submission/</w:t>
      </w:r>
      <w:r>
        <w:rPr>
          <w:rFonts w:ascii="Consolas" w:hAnsi="Consolas" w:eastAsia="宋体"/>
          <w:sz w:val="19"/>
        </w:rPr>
        <w:br w:type="textWrapping"/>
      </w:r>
      <w:r>
        <w:rPr>
          <w:rFonts w:ascii="Consolas" w:hAnsi="Consolas" w:eastAsia="宋体"/>
          <w:sz w:val="19"/>
        </w:rPr>
        <w:t xml:space="preserve">  solution.py               必交：统一入口</w:t>
      </w:r>
      <w:r>
        <w:rPr>
          <w:rFonts w:ascii="Consolas" w:hAnsi="Consolas" w:eastAsia="宋体"/>
          <w:sz w:val="19"/>
        </w:rPr>
        <w:br w:type="textWrapping"/>
      </w:r>
      <w:r>
        <w:rPr>
          <w:rFonts w:ascii="Consolas" w:hAnsi="Consolas" w:eastAsia="宋体"/>
          <w:sz w:val="19"/>
        </w:rPr>
        <w:t xml:space="preserve">  report.pdf                必交：报告，或report.docx</w:t>
      </w:r>
      <w:r>
        <w:rPr>
          <w:rFonts w:ascii="Consolas" w:hAnsi="Consolas" w:eastAsia="宋体"/>
          <w:sz w:val="19"/>
        </w:rPr>
        <w:br w:type="textWrapping"/>
      </w:r>
      <w:r>
        <w:rPr>
          <w:rFonts w:ascii="Consolas" w:hAnsi="Consolas" w:eastAsia="宋体"/>
          <w:sz w:val="19"/>
        </w:rPr>
        <w:t xml:space="preserve">  evidence/                 必交：测试结果与完整日志</w:t>
      </w:r>
      <w:r>
        <w:rPr>
          <w:rFonts w:ascii="Consolas" w:hAnsi="Consolas" w:eastAsia="宋体"/>
          <w:sz w:val="19"/>
        </w:rPr>
        <w:br w:type="textWrapping"/>
      </w:r>
      <w:r>
        <w:rPr>
          <w:rFonts w:ascii="Consolas" w:hAnsi="Consolas" w:eastAsia="宋体"/>
          <w:sz w:val="19"/>
        </w:rPr>
        <w:t xml:space="preserve">    baseline_public.json    FP32基准测试结果</w:t>
      </w:r>
      <w:r>
        <w:rPr>
          <w:rFonts w:ascii="Consolas" w:hAnsi="Consolas" w:eastAsia="宋体"/>
          <w:sz w:val="19"/>
        </w:rPr>
        <w:br w:type="textWrapping"/>
      </w:r>
      <w:r>
        <w:rPr>
          <w:rFonts w:ascii="Consolas" w:hAnsi="Consolas" w:eastAsia="宋体"/>
          <w:sz w:val="19"/>
        </w:rPr>
        <w:t xml:space="preserve">    submission_public.json  本队程序测试结果</w:t>
      </w:r>
      <w:r>
        <w:rPr>
          <w:rFonts w:ascii="Consolas" w:hAnsi="Consolas" w:eastAsia="宋体"/>
          <w:sz w:val="19"/>
        </w:rPr>
        <w:br w:type="textWrapping"/>
      </w:r>
      <w:r>
        <w:rPr>
          <w:rFonts w:ascii="Consolas" w:hAnsi="Consolas" w:eastAsia="宋体"/>
          <w:sz w:val="19"/>
        </w:rPr>
        <w:t xml:space="preserve">    baseline.log            FP32基准完整日志</w:t>
      </w:r>
      <w:r>
        <w:rPr>
          <w:rFonts w:ascii="Consolas" w:hAnsi="Consolas" w:eastAsia="宋体"/>
          <w:sz w:val="19"/>
        </w:rPr>
        <w:br w:type="textWrapping"/>
      </w:r>
      <w:r>
        <w:rPr>
          <w:rFonts w:ascii="Consolas" w:hAnsi="Consolas" w:eastAsia="宋体"/>
          <w:sz w:val="19"/>
        </w:rPr>
        <w:t xml:space="preserve">    submission.log          最终优化程序完整日志</w:t>
      </w:r>
      <w:r>
        <w:rPr>
          <w:rFonts w:ascii="Consolas" w:hAnsi="Consolas" w:eastAsia="宋体"/>
          <w:sz w:val="19"/>
        </w:rPr>
        <w:br w:type="textWrapping"/>
      </w:r>
      <w:r>
        <w:rPr>
          <w:rFonts w:ascii="Consolas" w:hAnsi="Consolas" w:eastAsia="宋体"/>
          <w:sz w:val="19"/>
        </w:rPr>
        <w:t xml:space="preserve">  src/                      按需：自有源码</w:t>
      </w:r>
      <w:r>
        <w:rPr>
          <w:rFonts w:ascii="Consolas" w:hAnsi="Consolas" w:eastAsia="宋体"/>
          <w:sz w:val="19"/>
        </w:rPr>
        <w:br w:type="textWrapping"/>
      </w:r>
      <w:r>
        <w:rPr>
          <w:rFonts w:ascii="Consolas" w:hAnsi="Consolas" w:eastAsia="宋体"/>
          <w:sz w:val="19"/>
        </w:rPr>
        <w:t xml:space="preserve">  ops/                      按需：自定义算子源码</w:t>
      </w:r>
      <w:r>
        <w:rPr>
          <w:rFonts w:ascii="Consolas" w:hAnsi="Consolas" w:eastAsia="宋体"/>
          <w:sz w:val="19"/>
        </w:rPr>
        <w:br w:type="textWrapping"/>
      </w:r>
      <w:r>
        <w:rPr>
          <w:rFonts w:ascii="Consolas" w:hAnsi="Consolas" w:eastAsia="宋体"/>
          <w:sz w:val="19"/>
        </w:rPr>
        <w:t xml:space="preserve">  models/                   按需：修改后的模型代码</w:t>
      </w:r>
      <w:r>
        <w:rPr>
          <w:rFonts w:ascii="Consolas" w:hAnsi="Consolas" w:eastAsia="宋体"/>
          <w:sz w:val="19"/>
        </w:rPr>
        <w:br w:type="textWrapping"/>
      </w:r>
      <w:r>
        <w:rPr>
          <w:rFonts w:ascii="Consolas" w:hAnsi="Consolas" w:eastAsia="宋体"/>
          <w:sz w:val="19"/>
        </w:rPr>
        <w:t xml:space="preserve">  build.sh                  按需：构建脚本</w:t>
      </w:r>
      <w:r>
        <w:rPr>
          <w:rFonts w:ascii="Consolas" w:hAnsi="Consolas" w:eastAsia="宋体"/>
          <w:sz w:val="19"/>
        </w:rPr>
        <w:br w:type="textWrapping"/>
      </w:r>
      <w:r>
        <w:rPr>
          <w:rFonts w:ascii="Consolas" w:hAnsi="Consolas" w:eastAsia="宋体"/>
          <w:sz w:val="19"/>
        </w:rPr>
        <w:t xml:space="preserve">  calibration/              按需：量化所需资料</w:t>
      </w:r>
    </w:p>
    <w:p w14:paraId="738CBC64">
      <w:pPr>
        <w:widowControl/>
      </w:pPr>
      <w:r>
        <w:rPr>
          <w:b w:val="0"/>
        </w:rPr>
        <w:t>报告应说明队伍信息、代码组织、主要优化方法及运行步骤。采用额外依赖、自定义算子或量化转换的方案，在报告中补充相应准备步骤，并提交必要文件；未涉及的方案无需提供。模型内部改动应提供源码。量化或转换须从传入的公共权重复现，并提供校准数据，或其可离线运行的确定性生成脚本和种子，说明来源；无须重复打包公共练习数据。</w:t>
      </w:r>
    </w:p>
    <w:p w14:paraId="39801708">
      <w:pPr>
        <w:spacing w:after="120"/>
      </w:pPr>
      <w:r>
        <w:t>将results/baseline_public.json、results/submission_public.json、results/baseline.log和results/submission.log复制到submission/evidence。两份完整日志均为必交材料。本队记录须对应最终代码的一轮完整测试，不拼接不同轮次的单项最好值。使用自定义文件名时，在报告中注明对应关系；异常未生成JSON时提交本轮日志，不得使用旧记录或伪造文件。</w:t>
      </w:r>
    </w:p>
    <w:p w14:paraId="61581537">
      <w:pPr>
        <w:widowControl/>
      </w:pPr>
      <w:r>
        <w:rPr>
          <w:b w:val="0"/>
        </w:rPr>
        <w:t>不重复提交公共模型权重、Tokenizer、完整题目包、baseline目录、测试工具或Python环境目录。清除.cache、__pycache__、*.pyc及无关临时文件；保留报告引用的实验记录和必要校准资料。模型与Tokenizer路径由测试程序传入，不依赖个人账号或绝对目录。</w:t>
      </w:r>
    </w:p>
    <w:p w14:paraId="1582FB5E">
      <w:pPr>
        <w:pStyle w:val="4"/>
      </w:pPr>
      <w:r>
        <w:t>提交前的检查</w:t>
      </w:r>
    </w:p>
    <w:p w14:paraId="1B4D6687">
      <w:pPr>
        <w:keepNext/>
        <w:widowControl/>
        <w:spacing w:after="100"/>
        <w:ind w:left="204" w:hanging="204"/>
      </w:pPr>
      <w:r>
        <w:rPr>
          <w:b w:val="0"/>
        </w:rPr>
        <w:t>1. 在DCU环境运行环境检查，确认公共文件正确且设备可见。</w:t>
      </w:r>
    </w:p>
    <w:p w14:paraId="327F9CD0">
      <w:pPr>
        <w:keepNext/>
        <w:widowControl/>
        <w:spacing w:after="100"/>
        <w:ind w:left="204" w:hanging="204"/>
      </w:pPr>
      <w:r>
        <w:rPr>
          <w:b w:val="0"/>
        </w:rPr>
        <w:t>2. 使用Bash入口测试自己实际将要提交的目录，而不是只测试原始基准。</w:t>
      </w:r>
    </w:p>
    <w:p w14:paraId="47D0C96F">
      <w:pPr>
        <w:keepNext/>
        <w:widowControl/>
        <w:spacing w:after="100"/>
        <w:ind w:left="204" w:hanging="204"/>
      </w:pPr>
      <w:r>
        <w:rPr>
          <w:b w:val="0"/>
        </w:rPr>
        <w:t>3. 确认四种负载均返回正确条数、长度和字符，检查实际一致率，保存可供报告引用的原始日志。</w:t>
      </w:r>
    </w:p>
    <w:p w14:paraId="6FA6DCDA">
      <w:pPr>
        <w:keepNext/>
        <w:widowControl/>
        <w:spacing w:after="100"/>
        <w:ind w:left="204" w:hanging="204"/>
      </w:pPr>
      <w:r>
        <w:rPr>
          <w:b w:val="0"/>
        </w:rPr>
        <w:t>4. 核对所有修改源码和构建脚本均已打包，报告中的运行命令能够找到正确入口。</w:t>
      </w:r>
    </w:p>
    <w:p w14:paraId="014515B6">
      <w:pPr>
        <w:widowControl/>
        <w:spacing w:after="100"/>
        <w:ind w:left="204" w:hanging="204"/>
      </w:pPr>
      <w:r>
        <w:rPr>
          <w:b w:val="0"/>
        </w:rPr>
        <w:t>5. 报告中的负载规格、计算精度、计时口径和数值与真实实验一致，注明代码及资料来源。</w:t>
      </w:r>
    </w:p>
    <w:p w14:paraId="5DA5F122">
      <w:pPr>
        <w:pStyle w:val="4"/>
        <w:keepNext/>
        <w:keepLines/>
        <w:widowControl/>
        <w:spacing w:before="40" w:after="120" w:line="252" w:lineRule="auto"/>
      </w:pPr>
      <w:r>
        <w:t>压缩包命名与提交</w:t>
      </w:r>
    </w:p>
    <w:p w14:paraId="28452907">
      <w:pPr>
        <w:spacing w:after="120"/>
      </w:pPr>
      <w:r>
        <w:t>仅将submission文件夹压缩为ZIP，不压缩整个progen2_contest题目包。压缩包内保留一个顶层submission文件夹，避免额外嵌套。</w:t>
      </w:r>
    </w:p>
    <w:p w14:paraId="786A3DA9">
      <w:pPr>
        <w:spacing w:after="120"/>
      </w:pPr>
      <w:r>
        <w:t>压缩包命名示例：progen2_2025001234.zip。将示例数字替换为队长实际学号，文件名不使用中文或空格。报告文件统一命名为report.pdf或report.docx，提交其中一份即可。</w:t>
      </w:r>
    </w:p>
    <w:p w14:paraId="54391400">
      <w:pPr>
        <w:spacing w:after="120"/>
      </w:pPr>
      <w:r>
        <w:t>队伍名称和成员姓名按报名信息填写，可使用中文。提交截止为2026年11月5日24:00，即11月6日00:00；将作品ZIP发送至6253111015@stu.jiangnan.edu.cn。</w:t>
      </w:r>
    </w:p>
    <w:p w14:paraId="3DC4EE30">
      <w:pPr>
        <w:widowControl/>
      </w:pPr>
      <w:r>
        <w:rPr>
          <w:b w:val="0"/>
        </w:rPr>
        <w:t>2026年10月28日前为学习与实训阶段，10月28日至11月5日为作品开发与提交阶段。提交前检查ZIP能正常解压，源码、报告与测试依据齐全且版本一致，运行方法已在报告中说明。</w:t>
      </w:r>
    </w:p>
    <w:p w14:paraId="5D2B0764">
      <w:pPr>
        <w:pStyle w:val="3"/>
        <w:pageBreakBefore w:val="0"/>
      </w:pPr>
      <w:r>
        <w:t>十三 评审与奖励</w:t>
      </w:r>
    </w:p>
    <w:p w14:paraId="2568FA45">
      <w:pPr>
        <w:widowControl/>
      </w:pPr>
      <w:r>
        <w:rPr>
          <w:b w:val="0"/>
        </w:rPr>
        <w:t>作品评审自2026年11月6日起开展，于12月5日前完成。评审完成后公布获奖名单并举行颁奖仪式，具体安排另行通知。</w:t>
      </w:r>
    </w:p>
    <w:p w14:paraId="11FC22E7">
      <w:pPr>
        <w:widowControl/>
      </w:pPr>
      <w:r>
        <w:rPr>
          <w:b w:val="0"/>
        </w:rPr>
        <w:t>奖项设置：一等奖1队，每队5000元；二等奖3队，每队3000元；三等奖6队，每队1000元；优胜奖10队，每队500元。</w:t>
      </w:r>
    </w:p>
    <w:p w14:paraId="5689C7AC">
      <w:pPr>
        <w:widowControl/>
      </w:pPr>
      <w:r>
        <w:rPr>
          <w:b w:val="0"/>
        </w:rPr>
        <w:t>择优推荐不少于10支队伍参加2027年先导杯</w:t>
      </w:r>
      <w:r>
        <w:rPr>
          <w:rFonts w:hint="eastAsia"/>
          <w:b w:val="0"/>
          <w:lang w:val="en-US" w:eastAsia="zh-CN"/>
        </w:rPr>
        <w:t>全国赛</w:t>
      </w:r>
      <w:r>
        <w:rPr>
          <w:b w:val="0"/>
        </w:rPr>
        <w:t>。</w:t>
      </w:r>
    </w:p>
    <w:sectPr>
      <w:footerReference r:id="rId5" w:type="default"/>
      <w:pgSz w:w="12240" w:h="15840"/>
      <w:pgMar w:top="1020" w:right="1134" w:bottom="1020" w:left="1134" w:header="454" w:footer="45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978C26">
    <w:pPr>
      <w:pStyle w:val="24"/>
      <w:jc w:val="center"/>
    </w:pPr>
    <w:r>
      <w:rPr>
        <w:sz w:val="18"/>
      </w:rPr>
      <w:t xml:space="preserve">先导杯校内赛赛题说明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DE51FC0"/>
    <w:rsid w:val="32947603"/>
    <w:rsid w:val="77700D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宋体" w:cstheme="minorBidi"/>
      <w:color w:val="000000"/>
      <w:sz w:val="23"/>
      <w:szCs w:val="22"/>
      <w:lang w:val="en-US" w:eastAsia="en-US" w:bidi="ar-SA"/>
    </w:rPr>
  </w:style>
  <w:style w:type="paragraph" w:styleId="3">
    <w:name w:val="heading 1"/>
    <w:basedOn w:val="1"/>
    <w:next w:val="1"/>
    <w:link w:val="139"/>
    <w:qFormat/>
    <w:uiPriority w:val="9"/>
    <w:pPr>
      <w:keepNext/>
      <w:keepLines/>
      <w:spacing w:before="80" w:after="200"/>
      <w:outlineLvl w:val="0"/>
    </w:pPr>
    <w:rPr>
      <w:rFonts w:ascii="Arial" w:hAnsi="Arial" w:eastAsia="微软雅黑"/>
      <w:b/>
      <w:bCs/>
      <w:color w:val="000000"/>
      <w:sz w:val="32"/>
      <w:szCs w:val="28"/>
    </w:rPr>
  </w:style>
  <w:style w:type="paragraph" w:styleId="4">
    <w:name w:val="heading 2"/>
    <w:basedOn w:val="1"/>
    <w:next w:val="1"/>
    <w:link w:val="140"/>
    <w:unhideWhenUsed/>
    <w:qFormat/>
    <w:uiPriority w:val="9"/>
    <w:pPr>
      <w:keepNext/>
      <w:keepLines/>
      <w:spacing w:before="180" w:after="100"/>
      <w:outlineLvl w:val="1"/>
    </w:pPr>
    <w:rPr>
      <w:rFonts w:ascii="Arial" w:hAnsi="Arial" w:eastAsia="微软雅黑"/>
      <w:b/>
      <w:bCs/>
      <w:color w:val="000000"/>
      <w:sz w:val="25"/>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pPr>
      <w:keepNext/>
      <w:keepLines/>
    </w:pPr>
    <w:rPr>
      <w:rFonts w:ascii="Arial" w:hAnsi="Arial" w:eastAsia="微软雅黑"/>
      <w:i/>
      <w:iCs/>
      <w:color w:val="000000"/>
      <w:spacing w:val="15"/>
      <w:sz w:val="24"/>
      <w:szCs w:val="24"/>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keepNext/>
      <w:keepLines/>
      <w:spacing w:after="220" w:line="240" w:lineRule="auto"/>
      <w:contextualSpacing/>
    </w:pPr>
    <w:rPr>
      <w:rFonts w:ascii="Arial" w:hAnsi="Arial" w:eastAsia="微软雅黑"/>
      <w:b/>
      <w:color w:val="000000"/>
      <w:spacing w:val="5"/>
      <w:kern w:val="28"/>
      <w:sz w:val="44"/>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648</Words>
  <Characters>769</Characters>
  <Lines>0</Lines>
  <Paragraphs>0</Paragraphs>
  <TotalTime>58</TotalTime>
  <ScaleCrop>false</ScaleCrop>
  <LinksUpToDate>false</LinksUpToDate>
  <CharactersWithSpaces>778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张胜祥</dc:creator>
  <cp:keywords>ProGen2-medium DCU 先导杯 推理优化</cp:keywords>
  <cp:lastModifiedBy>张胜祥</cp:lastModifiedBy>
  <dcterms:modified xsi:type="dcterms:W3CDTF">2026-10-28T06:31:27Z</dcterms:modified>
  <dc:subject>ProGen2-medium 国产DCU推理优化 任务接口 评测方法</dc:subject>
  <dc:title>先导杯校内赛赛题说明</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eyJoZGlkIjoiYmI5NzM1N2FlMTlmMThhZjY4OTMyZmZmYzE1YzkyYzEiLCJ1c2VySWQiOiI4NDM1MTkwMzIifQ==</vt:lpwstr>
  </property>
  <property fmtid="{D5CDD505-2E9C-101B-9397-08002B2CF9AE}" pid="3" name="KSOProductBuildVer">
    <vt:lpwstr>2052-12.1.0.29161</vt:lpwstr>
  </property>
  <property fmtid="{D5CDD505-2E9C-101B-9397-08002B2CF9AE}" pid="4" name="ICV">
    <vt:lpwstr>BB2AA4FCD04E42E18588FC7494C4DA02_12</vt:lpwstr>
  </property>
</Properties>
</file>