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Gustavo Padilha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Representar a estrutura estática de um sistema, exibindo classes, seus atributos e relacionamentos.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Construção:</w:t>
      </w:r>
      <w:r w:rsidDel="00000000" w:rsidR="00000000" w:rsidRPr="00000000">
        <w:rPr>
          <w:sz w:val="24"/>
          <w:szCs w:val="24"/>
          <w:rtl w:val="0"/>
        </w:rPr>
        <w:t xml:space="preserve"> Identifique classes, atributos e métodos para cada classe. Use notações como linhas, setas e retângulos.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Em um sistema de comércio eletrônico, classes como "Produto" e "Carrinho de Compras" com associações e atributos.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 exemplo: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Representar interações entre atores (usuários externos) e o sistema, descrevendo cenários de uso.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Construção:</w:t>
      </w:r>
      <w:r w:rsidDel="00000000" w:rsidR="00000000" w:rsidRPr="00000000">
        <w:rPr>
          <w:sz w:val="24"/>
          <w:szCs w:val="24"/>
          <w:rtl w:val="0"/>
        </w:rPr>
        <w:t xml:space="preserve"> Identifique atores e casos de uso. Use elipses para atores e retângulos para casos. Conecte-os com linhas.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Em um sistema de reservas de hotel, atores "Cliente" e "Recepcionista" com casos como "Fazer Reserva" e "Check-in".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 exemplo: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Entidade-Relacionamento (DER):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Modelar a estrutura de dados e seus relacionamentos em um sistema.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Construção:</w:t>
      </w:r>
      <w:r w:rsidDel="00000000" w:rsidR="00000000" w:rsidRPr="00000000">
        <w:rPr>
          <w:sz w:val="24"/>
          <w:szCs w:val="24"/>
          <w:rtl w:val="0"/>
        </w:rPr>
        <w:t xml:space="preserve"> Identifique entidades, atributos e relacionamentos. Use retângulos para entidades, diamantes para relacionamentos e elipses para atributos.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Em um sistema de gerenciamento de escola, entidades como "Aluno", "Curso" e relacionamentos de "Matrícula".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 Exemplo: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590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