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794A"/>
          <w:sz w:val="20"/>
        </w:rPr>
        <w:t>WEEK 3</w:t>
      </w:r>
    </w:p>
    <w:p>
      <w:pPr>
        <w:pStyle w:val="Title"/>
        <w:jc w:val="center"/>
      </w:pPr>
      <w:r>
        <w:t>Exploratory Data Analysis and KPI Findings</w:t>
      </w:r>
    </w:p>
    <w:p>
      <w:pPr>
        <w:jc w:val="center"/>
      </w:pPr>
      <w:r>
        <w:rPr>
          <w:color w:val="287B78"/>
          <w:sz w:val="26"/>
        </w:rPr>
        <w:t>Logistics Delivery Performance Analysis &amp; Late-Delivery Risk Prediction</w:t>
      </w:r>
    </w:p>
    <w:p>
      <w:pPr>
        <w:jc w:val="center"/>
      </w:pPr>
      <w:r>
        <w:rPr>
          <w:i/>
          <w:color w:val="59686D"/>
          <w:sz w:val="20"/>
        </w:rPr>
        <w:t>Logistics Data Analyst Internship | Week 3 Project Report</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304"/>
            <w:shd w:fill="124E57"/>
            <w:vAlign w:val="center"/>
            <w:tcMar>
              <w:top w:w="80" w:type="dxa"/>
              <w:start w:w="100" w:type="dxa"/>
              <w:bottom w:w="80" w:type="dxa"/>
              <w:end w:w="100" w:type="dxa"/>
            </w:tcMar>
          </w:tcPr>
          <w:p>
            <w:r>
              <w:rPr>
                <w:b/>
                <w:color w:val="FFFFFF"/>
                <w:sz w:val="18"/>
              </w:rPr>
              <w:t>Report detail</w:t>
            </w:r>
          </w:p>
        </w:tc>
        <w:tc>
          <w:tcPr>
            <w:tcW w:type="dxa" w:w="6768"/>
            <w:shd w:fill="124E57"/>
            <w:vAlign w:val="center"/>
            <w:tcMar>
              <w:top w:w="80" w:type="dxa"/>
              <w:start w:w="100" w:type="dxa"/>
              <w:bottom w:w="80" w:type="dxa"/>
              <w:end w:w="100" w:type="dxa"/>
            </w:tcMar>
          </w:tcPr>
          <w:p>
            <w:r>
              <w:rPr>
                <w:b/>
                <w:color w:val="FFFFFF"/>
                <w:sz w:val="18"/>
              </w:rPr>
              <w:t>Information</w:t>
            </w:r>
          </w:p>
        </w:tc>
      </w:tr>
      <w:tr>
        <w:trPr>
          <w:cantSplit/>
        </w:trPr>
        <w:tc>
          <w:tcPr>
            <w:tcW w:type="dxa" w:w="2304"/>
            <w:vAlign w:val="center"/>
            <w:tcMar>
              <w:top w:w="80" w:type="dxa"/>
              <w:start w:w="100" w:type="dxa"/>
              <w:bottom w:w="80" w:type="dxa"/>
              <w:end w:w="100" w:type="dxa"/>
            </w:tcMar>
            <w:shd w:fill="EAF3F2"/>
          </w:tcPr>
          <w:p>
            <w:pPr>
              <w:spacing w:after="0"/>
            </w:pPr>
            <w:r>
              <w:rPr>
                <w:color w:val="24343A"/>
                <w:sz w:val="18"/>
              </w:rPr>
              <w:t>Prepared by</w:t>
            </w:r>
          </w:p>
        </w:tc>
        <w:tc>
          <w:tcPr>
            <w:tcW w:type="dxa" w:w="6768"/>
            <w:vAlign w:val="center"/>
            <w:tcMar>
              <w:top w:w="80" w:type="dxa"/>
              <w:start w:w="100" w:type="dxa"/>
              <w:bottom w:w="80" w:type="dxa"/>
              <w:end w:w="100" w:type="dxa"/>
            </w:tcMar>
            <w:shd w:fill="EAF3F2"/>
          </w:tcPr>
          <w:p>
            <w:pPr>
              <w:spacing w:after="0"/>
            </w:pPr>
            <w:r>
              <w:rPr>
                <w:color w:val="24343A"/>
                <w:sz w:val="18"/>
              </w:rPr>
              <w:t>Guggilapu Venkata Ramana</w:t>
            </w:r>
          </w:p>
        </w:tc>
      </w:tr>
      <w:tr>
        <w:trPr>
          <w:cantSplit/>
        </w:trPr>
        <w:tc>
          <w:tcPr>
            <w:tcW w:type="dxa" w:w="2304"/>
            <w:vAlign w:val="center"/>
            <w:tcMar>
              <w:top w:w="80" w:type="dxa"/>
              <w:start w:w="100" w:type="dxa"/>
              <w:bottom w:w="80" w:type="dxa"/>
              <w:end w:w="100" w:type="dxa"/>
            </w:tcMar>
          </w:tcPr>
          <w:p>
            <w:pPr>
              <w:spacing w:after="0"/>
            </w:pPr>
            <w:r>
              <w:rPr>
                <w:color w:val="24343A"/>
                <w:sz w:val="18"/>
              </w:rPr>
              <w:t>Project domain</w:t>
            </w:r>
          </w:p>
        </w:tc>
        <w:tc>
          <w:tcPr>
            <w:tcW w:type="dxa" w:w="6768"/>
            <w:vAlign w:val="center"/>
            <w:tcMar>
              <w:top w:w="80" w:type="dxa"/>
              <w:start w:w="100" w:type="dxa"/>
              <w:bottom w:w="80" w:type="dxa"/>
              <w:end w:w="100" w:type="dxa"/>
            </w:tcMar>
          </w:tcPr>
          <w:p>
            <w:pPr>
              <w:spacing w:after="0"/>
            </w:pPr>
            <w:r>
              <w:rPr>
                <w:color w:val="24343A"/>
                <w:sz w:val="18"/>
              </w:rPr>
              <w:t>Data Analytics</w:t>
            </w:r>
          </w:p>
        </w:tc>
      </w:tr>
      <w:tr>
        <w:trPr>
          <w:cantSplit/>
        </w:trPr>
        <w:tc>
          <w:tcPr>
            <w:tcW w:type="dxa" w:w="2304"/>
            <w:vAlign w:val="center"/>
            <w:tcMar>
              <w:top w:w="80" w:type="dxa"/>
              <w:start w:w="100" w:type="dxa"/>
              <w:bottom w:w="80" w:type="dxa"/>
              <w:end w:w="100" w:type="dxa"/>
            </w:tcMar>
            <w:shd w:fill="EAF3F2"/>
          </w:tcPr>
          <w:p>
            <w:pPr>
              <w:spacing w:after="0"/>
            </w:pPr>
            <w:r>
              <w:rPr>
                <w:color w:val="24343A"/>
                <w:sz w:val="18"/>
              </w:rPr>
              <w:t>Dataset</w:t>
            </w:r>
          </w:p>
        </w:tc>
        <w:tc>
          <w:tcPr>
            <w:tcW w:type="dxa" w:w="6768"/>
            <w:vAlign w:val="center"/>
            <w:tcMar>
              <w:top w:w="80" w:type="dxa"/>
              <w:start w:w="100" w:type="dxa"/>
              <w:bottom w:w="80" w:type="dxa"/>
              <w:end w:w="100" w:type="dxa"/>
            </w:tcMar>
            <w:shd w:fill="EAF3F2"/>
          </w:tcPr>
          <w:p>
            <w:pPr>
              <w:spacing w:after="0"/>
            </w:pPr>
            <w:r>
              <w:rPr>
                <w:color w:val="24343A"/>
                <w:sz w:val="18"/>
              </w:rPr>
              <w:t>DataCo Smart Supply Chain Dataset</w:t>
            </w:r>
          </w:p>
        </w:tc>
      </w:tr>
      <w:tr>
        <w:trPr>
          <w:cantSplit/>
        </w:trPr>
        <w:tc>
          <w:tcPr>
            <w:tcW w:type="dxa" w:w="2304"/>
            <w:vAlign w:val="center"/>
            <w:tcMar>
              <w:top w:w="80" w:type="dxa"/>
              <w:start w:w="100" w:type="dxa"/>
              <w:bottom w:w="80" w:type="dxa"/>
              <w:end w:w="100" w:type="dxa"/>
            </w:tcMar>
          </w:tcPr>
          <w:p>
            <w:pPr>
              <w:spacing w:after="0"/>
            </w:pPr>
            <w:r>
              <w:rPr>
                <w:color w:val="24343A"/>
                <w:sz w:val="18"/>
              </w:rPr>
              <w:t>Tools</w:t>
            </w:r>
          </w:p>
        </w:tc>
        <w:tc>
          <w:tcPr>
            <w:tcW w:type="dxa" w:w="6768"/>
            <w:vAlign w:val="center"/>
            <w:tcMar>
              <w:top w:w="80" w:type="dxa"/>
              <w:start w:w="100" w:type="dxa"/>
              <w:bottom w:w="80" w:type="dxa"/>
              <w:end w:w="100" w:type="dxa"/>
            </w:tcMar>
          </w:tcPr>
          <w:p>
            <w:pPr>
              <w:spacing w:after="0"/>
            </w:pPr>
            <w:r>
              <w:rPr>
                <w:color w:val="24343A"/>
                <w:sz w:val="18"/>
              </w:rPr>
              <w:t>Python, Pandas, Matplotlib, EDA, KPI Analysis</w:t>
            </w:r>
          </w:p>
        </w:tc>
      </w:tr>
      <w:tr>
        <w:trPr>
          <w:cantSplit/>
        </w:trPr>
        <w:tc>
          <w:tcPr>
            <w:tcW w:type="dxa" w:w="2304"/>
            <w:vAlign w:val="center"/>
            <w:tcMar>
              <w:top w:w="80" w:type="dxa"/>
              <w:start w:w="100" w:type="dxa"/>
              <w:bottom w:w="80" w:type="dxa"/>
              <w:end w:w="100" w:type="dxa"/>
            </w:tcMar>
            <w:shd w:fill="EAF3F2"/>
          </w:tcPr>
          <w:p>
            <w:pPr>
              <w:spacing w:after="0"/>
            </w:pPr>
            <w:r>
              <w:rPr>
                <w:color w:val="24343A"/>
                <w:sz w:val="18"/>
              </w:rPr>
              <w:t>Reporting phase</w:t>
            </w:r>
          </w:p>
        </w:tc>
        <w:tc>
          <w:tcPr>
            <w:tcW w:type="dxa" w:w="6768"/>
            <w:vAlign w:val="center"/>
            <w:tcMar>
              <w:top w:w="80" w:type="dxa"/>
              <w:start w:w="100" w:type="dxa"/>
              <w:bottom w:w="80" w:type="dxa"/>
              <w:end w:w="100" w:type="dxa"/>
            </w:tcMar>
            <w:shd w:fill="EAF3F2"/>
          </w:tcPr>
          <w:p>
            <w:pPr>
              <w:spacing w:after="0"/>
            </w:pPr>
            <w:r>
              <w:rPr>
                <w:color w:val="24343A"/>
                <w:sz w:val="18"/>
              </w:rPr>
              <w:t>Week 3 — EDA, KPI calculations, comparisons, and visualizations</w:t>
            </w:r>
          </w:p>
        </w:tc>
      </w:tr>
    </w:tbl>
    <w:p>
      <w:pPr>
        <w:spacing w:after="20"/>
      </w:pPr>
    </w:p>
    <w:p>
      <w:pPr>
        <w:pStyle w:val="Heading1"/>
      </w:pPr>
      <w:r>
        <w:t>1. Executive Summary</w:t>
      </w:r>
    </w:p>
    <w:p>
      <w:r>
        <w:t>Week 3 examines historical supply-chain records to describe delivery outcomes, summarize shipping duration, compare reported late-delivery risk by shipping mode, and review selected correlations. The analysis uses the cleaned working dataset described in Week 2 and the supplied Week 3 summary results.</w:t>
      </w:r>
    </w:p>
    <w:p>
      <w:r>
        <w:t>The working dataset contains 180,519 records and 51 columns. Late delivery is the largest reported delivery-status category, with 98,977 records (54.83%). Average actual shipping time is 3.50 days; its median is 3 days, compared with a reported scheduled-shipping median of 4 days. Reported risk percentages range from 38% for Standard Class to 95% for First Class.</w:t>
      </w:r>
    </w:p>
    <w:p>
      <w:r>
        <w:t>These are descriptive, record-level findings. Shipping-mode percentages, variable definitions, and all calculations should be validated against the final cleaned dataset before operational decisions or predictive modeling. The charts in this report visualize the values supplied for Week 3; they do not replace a fresh calculation from the source data.</w:t>
      </w:r>
    </w:p>
    <w:p>
      <w:pPr>
        <w:pStyle w:val="Heading1"/>
      </w:pPr>
      <w:r>
        <w:t>2. Objectives</w:t>
      </w:r>
    </w:p>
    <w:p>
      <w:pPr>
        <w:pStyle w:val="ListBullet"/>
      </w:pPr>
      <w:r>
        <w:t>Describe the distribution of delivery-status categories.</w:t>
      </w:r>
    </w:p>
    <w:p>
      <w:pPr>
        <w:pStyle w:val="ListBullet"/>
      </w:pPr>
      <w:r>
        <w:t>Summarize actual and scheduled shipping durations using the available statistics.</w:t>
      </w:r>
    </w:p>
    <w:p>
      <w:pPr>
        <w:pStyle w:val="ListBullet"/>
      </w:pPr>
      <w:r>
        <w:t>Compare reported late-delivery risk percentages across shipping modes.</w:t>
      </w:r>
    </w:p>
    <w:p>
      <w:pPr>
        <w:pStyle w:val="ListBullet"/>
      </w:pPr>
      <w:r>
        <w:t>Review reported correlations among shipping duration, risk, sales, and profit.</w:t>
      </w:r>
    </w:p>
    <w:p>
      <w:pPr>
        <w:pStyle w:val="ListBullet"/>
      </w:pPr>
      <w:r>
        <w:t>Communicate findings through clear charts and KPI tables.</w:t>
      </w:r>
    </w:p>
    <w:p>
      <w:pPr>
        <w:pStyle w:val="ListBullet"/>
      </w:pPr>
      <w:r>
        <w:t>Document limitations and prepare a leakage-aware foundation for Week 4 modeling.</w:t>
      </w:r>
    </w:p>
    <w:p>
      <w:pPr>
        <w:pStyle w:val="Heading1"/>
      </w:pPr>
      <w:r>
        <w:t>3. Dataset and Methodology</w:t>
      </w:r>
    </w:p>
    <w:p>
      <w:pPr>
        <w:pStyle w:val="Heading2"/>
      </w:pPr>
      <w:r>
        <w:t>3.1 Dataset Overview</w:t>
      </w:r>
    </w:p>
    <w:p>
      <w:r>
        <w:t>The DataCo Smart Supply Chain Dataset contains order, customer, shipping, delivery, sales, profit, and product information. The Week 2 cleaned working dataset was reported as 180,519 rows by 51 columns. The unit counted in the reported results is a dataset record; one order may contribute multiple item-level records.</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4608"/>
            <w:shd w:fill="124E57"/>
            <w:vAlign w:val="center"/>
            <w:tcMar>
              <w:top w:w="80" w:type="dxa"/>
              <w:start w:w="100" w:type="dxa"/>
              <w:bottom w:w="80" w:type="dxa"/>
              <w:end w:w="100" w:type="dxa"/>
            </w:tcMar>
          </w:tcPr>
          <w:p>
            <w:r>
              <w:rPr>
                <w:b/>
                <w:color w:val="FFFFFF"/>
                <w:sz w:val="18"/>
              </w:rPr>
              <w:t>Attribute</w:t>
            </w:r>
          </w:p>
        </w:tc>
        <w:tc>
          <w:tcPr>
            <w:tcW w:type="dxa" w:w="4464"/>
            <w:shd w:fill="124E57"/>
            <w:vAlign w:val="center"/>
            <w:tcMar>
              <w:top w:w="80" w:type="dxa"/>
              <w:start w:w="100" w:type="dxa"/>
              <w:bottom w:w="80" w:type="dxa"/>
              <w:end w:w="100" w:type="dxa"/>
            </w:tcMar>
          </w:tcPr>
          <w:p>
            <w:r>
              <w:rPr>
                <w:b/>
                <w:color w:val="FFFFFF"/>
                <w:sz w:val="18"/>
              </w:rPr>
              <w:t>Reported value</w:t>
            </w:r>
          </w:p>
        </w:tc>
      </w:tr>
      <w:tr>
        <w:trPr>
          <w:cantSplit/>
        </w:trPr>
        <w:tc>
          <w:tcPr>
            <w:tcW w:type="dxa" w:w="4608"/>
            <w:vAlign w:val="center"/>
            <w:tcMar>
              <w:top w:w="80" w:type="dxa"/>
              <w:start w:w="100" w:type="dxa"/>
              <w:bottom w:w="80" w:type="dxa"/>
              <w:end w:w="100" w:type="dxa"/>
            </w:tcMar>
            <w:shd w:fill="EAF3F2"/>
          </w:tcPr>
          <w:p>
            <w:pPr>
              <w:spacing w:after="0"/>
            </w:pPr>
            <w:r>
              <w:rPr>
                <w:color w:val="24343A"/>
                <w:sz w:val="18"/>
              </w:rPr>
              <w:t>Records</w:t>
            </w:r>
          </w:p>
        </w:tc>
        <w:tc>
          <w:tcPr>
            <w:tcW w:type="dxa" w:w="4464"/>
            <w:vAlign w:val="center"/>
            <w:tcMar>
              <w:top w:w="80" w:type="dxa"/>
              <w:start w:w="100" w:type="dxa"/>
              <w:bottom w:w="80" w:type="dxa"/>
              <w:end w:w="100" w:type="dxa"/>
            </w:tcMar>
            <w:shd w:fill="EAF3F2"/>
          </w:tcPr>
          <w:p>
            <w:pPr>
              <w:spacing w:after="0"/>
            </w:pPr>
            <w:r>
              <w:rPr>
                <w:color w:val="24343A"/>
                <w:sz w:val="18"/>
              </w:rPr>
              <w:t>180,519</w:t>
            </w:r>
          </w:p>
        </w:tc>
      </w:tr>
      <w:tr>
        <w:trPr>
          <w:cantSplit/>
        </w:trPr>
        <w:tc>
          <w:tcPr>
            <w:tcW w:type="dxa" w:w="4608"/>
            <w:vAlign w:val="center"/>
            <w:tcMar>
              <w:top w:w="80" w:type="dxa"/>
              <w:start w:w="100" w:type="dxa"/>
              <w:bottom w:w="80" w:type="dxa"/>
              <w:end w:w="100" w:type="dxa"/>
            </w:tcMar>
          </w:tcPr>
          <w:p>
            <w:pPr>
              <w:spacing w:after="0"/>
            </w:pPr>
            <w:r>
              <w:rPr>
                <w:color w:val="24343A"/>
                <w:sz w:val="18"/>
              </w:rPr>
              <w:t>Columns in working dataset</w:t>
            </w:r>
          </w:p>
        </w:tc>
        <w:tc>
          <w:tcPr>
            <w:tcW w:type="dxa" w:w="4464"/>
            <w:vAlign w:val="center"/>
            <w:tcMar>
              <w:top w:w="80" w:type="dxa"/>
              <w:start w:w="100" w:type="dxa"/>
              <w:bottom w:w="80" w:type="dxa"/>
              <w:end w:w="100" w:type="dxa"/>
            </w:tcMar>
          </w:tcPr>
          <w:p>
            <w:pPr>
              <w:spacing w:after="0"/>
            </w:pPr>
            <w:r>
              <w:rPr>
                <w:color w:val="24343A"/>
                <w:sz w:val="18"/>
              </w:rPr>
              <w:t>51</w:t>
            </w:r>
          </w:p>
        </w:tc>
      </w:tr>
      <w:tr>
        <w:trPr>
          <w:cantSplit/>
        </w:trPr>
        <w:tc>
          <w:tcPr>
            <w:tcW w:type="dxa" w:w="4608"/>
            <w:vAlign w:val="center"/>
            <w:tcMar>
              <w:top w:w="80" w:type="dxa"/>
              <w:start w:w="100" w:type="dxa"/>
              <w:bottom w:w="80" w:type="dxa"/>
              <w:end w:w="100" w:type="dxa"/>
            </w:tcMar>
            <w:shd w:fill="EAF3F2"/>
          </w:tcPr>
          <w:p>
            <w:pPr>
              <w:spacing w:after="0"/>
            </w:pPr>
            <w:r>
              <w:rPr>
                <w:color w:val="24343A"/>
                <w:sz w:val="18"/>
              </w:rPr>
              <w:t>Late-delivery records</w:t>
            </w:r>
          </w:p>
        </w:tc>
        <w:tc>
          <w:tcPr>
            <w:tcW w:type="dxa" w:w="4464"/>
            <w:vAlign w:val="center"/>
            <w:tcMar>
              <w:top w:w="80" w:type="dxa"/>
              <w:start w:w="100" w:type="dxa"/>
              <w:bottom w:w="80" w:type="dxa"/>
              <w:end w:w="100" w:type="dxa"/>
            </w:tcMar>
            <w:shd w:fill="EAF3F2"/>
          </w:tcPr>
          <w:p>
            <w:pPr>
              <w:spacing w:after="0"/>
            </w:pPr>
            <w:r>
              <w:rPr>
                <w:color w:val="24343A"/>
                <w:sz w:val="18"/>
              </w:rPr>
              <w:t>98,977</w:t>
            </w:r>
          </w:p>
        </w:tc>
      </w:tr>
      <w:tr>
        <w:trPr>
          <w:cantSplit/>
        </w:trPr>
        <w:tc>
          <w:tcPr>
            <w:tcW w:type="dxa" w:w="4608"/>
            <w:vAlign w:val="center"/>
            <w:tcMar>
              <w:top w:w="80" w:type="dxa"/>
              <w:start w:w="100" w:type="dxa"/>
              <w:bottom w:w="80" w:type="dxa"/>
              <w:end w:w="100" w:type="dxa"/>
            </w:tcMar>
          </w:tcPr>
          <w:p>
            <w:pPr>
              <w:spacing w:after="0"/>
            </w:pPr>
            <w:r>
              <w:rPr>
                <w:color w:val="24343A"/>
                <w:sz w:val="18"/>
              </w:rPr>
              <w:t>Late-delivery record share</w:t>
            </w:r>
          </w:p>
        </w:tc>
        <w:tc>
          <w:tcPr>
            <w:tcW w:type="dxa" w:w="4464"/>
            <w:vAlign w:val="center"/>
            <w:tcMar>
              <w:top w:w="80" w:type="dxa"/>
              <w:start w:w="100" w:type="dxa"/>
              <w:bottom w:w="80" w:type="dxa"/>
              <w:end w:w="100" w:type="dxa"/>
            </w:tcMar>
          </w:tcPr>
          <w:p>
            <w:pPr>
              <w:spacing w:after="0"/>
            </w:pPr>
            <w:r>
              <w:rPr>
                <w:color w:val="24343A"/>
                <w:sz w:val="18"/>
              </w:rPr>
              <w:t>54.83%</w:t>
            </w:r>
          </w:p>
        </w:tc>
      </w:tr>
      <w:tr>
        <w:trPr>
          <w:cantSplit/>
        </w:trPr>
        <w:tc>
          <w:tcPr>
            <w:tcW w:type="dxa" w:w="4608"/>
            <w:vAlign w:val="center"/>
            <w:tcMar>
              <w:top w:w="80" w:type="dxa"/>
              <w:start w:w="100" w:type="dxa"/>
              <w:bottom w:w="80" w:type="dxa"/>
              <w:end w:w="100" w:type="dxa"/>
            </w:tcMar>
            <w:shd w:fill="EAF3F2"/>
          </w:tcPr>
          <w:p>
            <w:pPr>
              <w:spacing w:after="0"/>
            </w:pPr>
            <w:r>
              <w:rPr>
                <w:color w:val="24343A"/>
                <w:sz w:val="18"/>
              </w:rPr>
              <w:t>Remaining missing values reported in Week 2</w:t>
            </w:r>
          </w:p>
        </w:tc>
        <w:tc>
          <w:tcPr>
            <w:tcW w:type="dxa" w:w="4464"/>
            <w:vAlign w:val="center"/>
            <w:tcMar>
              <w:top w:w="80" w:type="dxa"/>
              <w:start w:w="100" w:type="dxa"/>
              <w:bottom w:w="80" w:type="dxa"/>
              <w:end w:w="100" w:type="dxa"/>
            </w:tcMar>
            <w:shd w:fill="EAF3F2"/>
          </w:tcPr>
          <w:p>
            <w:pPr>
              <w:spacing w:after="0"/>
            </w:pPr>
            <w:r>
              <w:rPr>
                <w:color w:val="24343A"/>
                <w:sz w:val="18"/>
              </w:rPr>
              <w:t>Customer Lname: 8; Customer Zipcode: 3</w:t>
            </w:r>
          </w:p>
        </w:tc>
      </w:tr>
    </w:tbl>
    <w:p>
      <w:pPr>
        <w:spacing w:after="20"/>
      </w:pPr>
    </w:p>
    <w:p>
      <w:pPr>
        <w:pStyle w:val="Heading2"/>
      </w:pPr>
      <w:r>
        <w:t>3.2 Analysis Workflow</w:t>
      </w:r>
    </w:p>
    <w:p>
      <w:r>
        <w:t>The Week 3 workflow uses Pandas to load and inspect the prepared dataset, review status categories and shipping modes, summarize duration variables, calculate or review KPIs, and create Matplotlib visualizations. The supplied results are documented here as reported values; the original notebook or final cleaned CSV should be used to reproduce and validate them.</w:t>
      </w:r>
    </w:p>
    <w:p>
      <w:r>
        <w:t>Illustrative inspection code:</w:t>
      </w:r>
    </w:p>
    <w:p>
      <w:pPr>
        <w:spacing w:before="80" w:after="160"/>
        <w:ind w:left="360" w:right="360"/>
      </w:pPr>
      <w:r>
        <w:rPr>
          <w:rFonts w:ascii="Consolas" w:hAnsi="Consolas"/>
          <w:color w:val="124E57"/>
          <w:sz w:val="16"/>
        </w:rPr>
        <w:t>import pandas as pd</w:t>
        <w:br/>
        <w:t>import matplotlib.pyplot as plt</w:t>
        <w:br/>
        <w:br/>
        <w:t>df = pd.read_csv("DataCo_Week2_Cleaned.csv")</w:t>
        <w:br/>
        <w:t>print(df.shape)</w:t>
        <w:br/>
        <w:t>print(df["delivery_status"].value_counts(dropna=False))</w:t>
        <w:br/>
        <w:t>print(df[["days_for_shipping_real",</w:t>
        <w:br/>
        <w:t xml:space="preserve">          "days_for_shipment_scheduled"]].describe())</w:t>
      </w:r>
    </w:p>
    <w:p>
      <w:pPr>
        <w:pStyle w:val="Heading1"/>
      </w:pPr>
      <w:r>
        <w:t>4. Delivery Status Distribution</w:t>
      </w:r>
    </w:p>
    <w:p>
      <w:r>
        <w:t>Late delivery is the most frequent reported category, representing 54.83% of dataset records. Advance shipping accounts for 23.04%, shipping on time 17.84%, and shipping canceled 4.30%. Percentages are rounded and sum to approximately 100%.</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4320"/>
            <w:shd w:fill="124E57"/>
            <w:vAlign w:val="center"/>
            <w:tcMar>
              <w:top w:w="80" w:type="dxa"/>
              <w:start w:w="100" w:type="dxa"/>
              <w:bottom w:w="80" w:type="dxa"/>
              <w:end w:w="100" w:type="dxa"/>
            </w:tcMar>
          </w:tcPr>
          <w:p>
            <w:r>
              <w:rPr>
                <w:b/>
                <w:color w:val="FFFFFF"/>
                <w:sz w:val="18"/>
              </w:rPr>
              <w:t>Delivery status</w:t>
            </w:r>
          </w:p>
        </w:tc>
        <w:tc>
          <w:tcPr>
            <w:tcW w:type="dxa" w:w="2448"/>
            <w:shd w:fill="124E57"/>
            <w:vAlign w:val="center"/>
            <w:tcMar>
              <w:top w:w="80" w:type="dxa"/>
              <w:start w:w="100" w:type="dxa"/>
              <w:bottom w:w="80" w:type="dxa"/>
              <w:end w:w="100" w:type="dxa"/>
            </w:tcMar>
          </w:tcPr>
          <w:p>
            <w:r>
              <w:rPr>
                <w:b/>
                <w:color w:val="FFFFFF"/>
                <w:sz w:val="18"/>
              </w:rPr>
              <w:t>Records</w:t>
            </w:r>
          </w:p>
        </w:tc>
        <w:tc>
          <w:tcPr>
            <w:tcW w:type="dxa" w:w="2304"/>
            <w:shd w:fill="124E57"/>
            <w:vAlign w:val="center"/>
            <w:tcMar>
              <w:top w:w="80" w:type="dxa"/>
              <w:start w:w="100" w:type="dxa"/>
              <w:bottom w:w="80" w:type="dxa"/>
              <w:end w:w="100" w:type="dxa"/>
            </w:tcMar>
          </w:tcPr>
          <w:p>
            <w:r>
              <w:rPr>
                <w:b/>
                <w:color w:val="FFFFFF"/>
                <w:sz w:val="18"/>
              </w:rPr>
              <w:t>Share</w:t>
            </w:r>
          </w:p>
        </w:tc>
      </w:tr>
      <w:tr>
        <w:trPr>
          <w:cantSplit/>
        </w:trPr>
        <w:tc>
          <w:tcPr>
            <w:tcW w:type="dxa" w:w="4320"/>
            <w:vAlign w:val="center"/>
            <w:tcMar>
              <w:top w:w="80" w:type="dxa"/>
              <w:start w:w="100" w:type="dxa"/>
              <w:bottom w:w="80" w:type="dxa"/>
              <w:end w:w="100" w:type="dxa"/>
            </w:tcMar>
            <w:shd w:fill="EAF3F2"/>
          </w:tcPr>
          <w:p>
            <w:pPr>
              <w:spacing w:after="0"/>
            </w:pPr>
            <w:r>
              <w:rPr>
                <w:color w:val="24343A"/>
                <w:sz w:val="18"/>
              </w:rPr>
              <w:t>Late delivery</w:t>
            </w:r>
          </w:p>
        </w:tc>
        <w:tc>
          <w:tcPr>
            <w:tcW w:type="dxa" w:w="2448"/>
            <w:vAlign w:val="center"/>
            <w:tcMar>
              <w:top w:w="80" w:type="dxa"/>
              <w:start w:w="100" w:type="dxa"/>
              <w:bottom w:w="80" w:type="dxa"/>
              <w:end w:w="100" w:type="dxa"/>
            </w:tcMar>
            <w:shd w:fill="EAF3F2"/>
          </w:tcPr>
          <w:p>
            <w:pPr>
              <w:spacing w:after="0"/>
            </w:pPr>
            <w:r>
              <w:rPr>
                <w:color w:val="24343A"/>
                <w:sz w:val="18"/>
              </w:rPr>
              <w:t>98,977</w:t>
            </w:r>
          </w:p>
        </w:tc>
        <w:tc>
          <w:tcPr>
            <w:tcW w:type="dxa" w:w="2304"/>
            <w:vAlign w:val="center"/>
            <w:tcMar>
              <w:top w:w="80" w:type="dxa"/>
              <w:start w:w="100" w:type="dxa"/>
              <w:bottom w:w="80" w:type="dxa"/>
              <w:end w:w="100" w:type="dxa"/>
            </w:tcMar>
            <w:shd w:fill="EAF3F2"/>
          </w:tcPr>
          <w:p>
            <w:pPr>
              <w:spacing w:after="0"/>
            </w:pPr>
            <w:r>
              <w:rPr>
                <w:color w:val="24343A"/>
                <w:sz w:val="18"/>
              </w:rPr>
              <w:t>54.83%</w:t>
            </w:r>
          </w:p>
        </w:tc>
      </w:tr>
      <w:tr>
        <w:trPr>
          <w:cantSplit/>
        </w:trPr>
        <w:tc>
          <w:tcPr>
            <w:tcW w:type="dxa" w:w="4320"/>
            <w:vAlign w:val="center"/>
            <w:tcMar>
              <w:top w:w="80" w:type="dxa"/>
              <w:start w:w="100" w:type="dxa"/>
              <w:bottom w:w="80" w:type="dxa"/>
              <w:end w:w="100" w:type="dxa"/>
            </w:tcMar>
          </w:tcPr>
          <w:p>
            <w:pPr>
              <w:spacing w:after="0"/>
            </w:pPr>
            <w:r>
              <w:rPr>
                <w:color w:val="24343A"/>
                <w:sz w:val="18"/>
              </w:rPr>
              <w:t>Advance shipping</w:t>
            </w:r>
          </w:p>
        </w:tc>
        <w:tc>
          <w:tcPr>
            <w:tcW w:type="dxa" w:w="2448"/>
            <w:vAlign w:val="center"/>
            <w:tcMar>
              <w:top w:w="80" w:type="dxa"/>
              <w:start w:w="100" w:type="dxa"/>
              <w:bottom w:w="80" w:type="dxa"/>
              <w:end w:w="100" w:type="dxa"/>
            </w:tcMar>
          </w:tcPr>
          <w:p>
            <w:pPr>
              <w:spacing w:after="0"/>
            </w:pPr>
            <w:r>
              <w:rPr>
                <w:color w:val="24343A"/>
                <w:sz w:val="18"/>
              </w:rPr>
              <w:t>41,592</w:t>
            </w:r>
          </w:p>
        </w:tc>
        <w:tc>
          <w:tcPr>
            <w:tcW w:type="dxa" w:w="2304"/>
            <w:vAlign w:val="center"/>
            <w:tcMar>
              <w:top w:w="80" w:type="dxa"/>
              <w:start w:w="100" w:type="dxa"/>
              <w:bottom w:w="80" w:type="dxa"/>
              <w:end w:w="100" w:type="dxa"/>
            </w:tcMar>
          </w:tcPr>
          <w:p>
            <w:pPr>
              <w:spacing w:after="0"/>
            </w:pPr>
            <w:r>
              <w:rPr>
                <w:color w:val="24343A"/>
                <w:sz w:val="18"/>
              </w:rPr>
              <w:t>23.04%</w:t>
            </w:r>
          </w:p>
        </w:tc>
      </w:tr>
      <w:tr>
        <w:trPr>
          <w:cantSplit/>
        </w:trPr>
        <w:tc>
          <w:tcPr>
            <w:tcW w:type="dxa" w:w="4320"/>
            <w:vAlign w:val="center"/>
            <w:tcMar>
              <w:top w:w="80" w:type="dxa"/>
              <w:start w:w="100" w:type="dxa"/>
              <w:bottom w:w="80" w:type="dxa"/>
              <w:end w:w="100" w:type="dxa"/>
            </w:tcMar>
            <w:shd w:fill="EAF3F2"/>
          </w:tcPr>
          <w:p>
            <w:pPr>
              <w:spacing w:after="0"/>
            </w:pPr>
            <w:r>
              <w:rPr>
                <w:color w:val="24343A"/>
                <w:sz w:val="18"/>
              </w:rPr>
              <w:t>Shipping on time</w:t>
            </w:r>
          </w:p>
        </w:tc>
        <w:tc>
          <w:tcPr>
            <w:tcW w:type="dxa" w:w="2448"/>
            <w:vAlign w:val="center"/>
            <w:tcMar>
              <w:top w:w="80" w:type="dxa"/>
              <w:start w:w="100" w:type="dxa"/>
              <w:bottom w:w="80" w:type="dxa"/>
              <w:end w:w="100" w:type="dxa"/>
            </w:tcMar>
            <w:shd w:fill="EAF3F2"/>
          </w:tcPr>
          <w:p>
            <w:pPr>
              <w:spacing w:after="0"/>
            </w:pPr>
            <w:r>
              <w:rPr>
                <w:color w:val="24343A"/>
                <w:sz w:val="18"/>
              </w:rPr>
              <w:t>32,196</w:t>
            </w:r>
          </w:p>
        </w:tc>
        <w:tc>
          <w:tcPr>
            <w:tcW w:type="dxa" w:w="2304"/>
            <w:vAlign w:val="center"/>
            <w:tcMar>
              <w:top w:w="80" w:type="dxa"/>
              <w:start w:w="100" w:type="dxa"/>
              <w:bottom w:w="80" w:type="dxa"/>
              <w:end w:w="100" w:type="dxa"/>
            </w:tcMar>
            <w:shd w:fill="EAF3F2"/>
          </w:tcPr>
          <w:p>
            <w:pPr>
              <w:spacing w:after="0"/>
            </w:pPr>
            <w:r>
              <w:rPr>
                <w:color w:val="24343A"/>
                <w:sz w:val="18"/>
              </w:rPr>
              <w:t>17.84%</w:t>
            </w:r>
          </w:p>
        </w:tc>
      </w:tr>
      <w:tr>
        <w:trPr>
          <w:cantSplit/>
        </w:trPr>
        <w:tc>
          <w:tcPr>
            <w:tcW w:type="dxa" w:w="4320"/>
            <w:vAlign w:val="center"/>
            <w:tcMar>
              <w:top w:w="80" w:type="dxa"/>
              <w:start w:w="100" w:type="dxa"/>
              <w:bottom w:w="80" w:type="dxa"/>
              <w:end w:w="100" w:type="dxa"/>
            </w:tcMar>
          </w:tcPr>
          <w:p>
            <w:pPr>
              <w:spacing w:after="0"/>
            </w:pPr>
            <w:r>
              <w:rPr>
                <w:color w:val="24343A"/>
                <w:sz w:val="18"/>
              </w:rPr>
              <w:t>Shipping canceled</w:t>
            </w:r>
          </w:p>
        </w:tc>
        <w:tc>
          <w:tcPr>
            <w:tcW w:type="dxa" w:w="2448"/>
            <w:vAlign w:val="center"/>
            <w:tcMar>
              <w:top w:w="80" w:type="dxa"/>
              <w:start w:w="100" w:type="dxa"/>
              <w:bottom w:w="80" w:type="dxa"/>
              <w:end w:w="100" w:type="dxa"/>
            </w:tcMar>
          </w:tcPr>
          <w:p>
            <w:pPr>
              <w:spacing w:after="0"/>
            </w:pPr>
            <w:r>
              <w:rPr>
                <w:color w:val="24343A"/>
                <w:sz w:val="18"/>
              </w:rPr>
              <w:t>7,754</w:t>
            </w:r>
          </w:p>
        </w:tc>
        <w:tc>
          <w:tcPr>
            <w:tcW w:type="dxa" w:w="2304"/>
            <w:vAlign w:val="center"/>
            <w:tcMar>
              <w:top w:w="80" w:type="dxa"/>
              <w:start w:w="100" w:type="dxa"/>
              <w:bottom w:w="80" w:type="dxa"/>
              <w:end w:w="100" w:type="dxa"/>
            </w:tcMar>
          </w:tcPr>
          <w:p>
            <w:pPr>
              <w:spacing w:after="0"/>
            </w:pPr>
            <w:r>
              <w:rPr>
                <w:color w:val="24343A"/>
                <w:sz w:val="18"/>
              </w:rPr>
              <w:t>4.30%</w:t>
            </w:r>
          </w:p>
        </w:tc>
      </w:tr>
      <w:tr>
        <w:trPr>
          <w:cantSplit/>
        </w:trPr>
        <w:tc>
          <w:tcPr>
            <w:tcW w:type="dxa" w:w="4320"/>
            <w:vAlign w:val="center"/>
            <w:tcMar>
              <w:top w:w="80" w:type="dxa"/>
              <w:start w:w="100" w:type="dxa"/>
              <w:bottom w:w="80" w:type="dxa"/>
              <w:end w:w="100" w:type="dxa"/>
            </w:tcMar>
            <w:shd w:fill="EAF3F2"/>
          </w:tcPr>
          <w:p>
            <w:pPr>
              <w:spacing w:after="0"/>
            </w:pPr>
            <w:r>
              <w:rPr>
                <w:color w:val="24343A"/>
                <w:sz w:val="18"/>
              </w:rPr>
              <w:t>Total</w:t>
            </w:r>
          </w:p>
        </w:tc>
        <w:tc>
          <w:tcPr>
            <w:tcW w:type="dxa" w:w="2448"/>
            <w:vAlign w:val="center"/>
            <w:tcMar>
              <w:top w:w="80" w:type="dxa"/>
              <w:start w:w="100" w:type="dxa"/>
              <w:bottom w:w="80" w:type="dxa"/>
              <w:end w:w="100" w:type="dxa"/>
            </w:tcMar>
            <w:shd w:fill="EAF3F2"/>
          </w:tcPr>
          <w:p>
            <w:pPr>
              <w:spacing w:after="0"/>
            </w:pPr>
            <w:r>
              <w:rPr>
                <w:color w:val="24343A"/>
                <w:sz w:val="18"/>
              </w:rPr>
              <w:t>180,519</w:t>
            </w:r>
          </w:p>
        </w:tc>
        <w:tc>
          <w:tcPr>
            <w:tcW w:type="dxa" w:w="2304"/>
            <w:vAlign w:val="center"/>
            <w:tcMar>
              <w:top w:w="80" w:type="dxa"/>
              <w:start w:w="100" w:type="dxa"/>
              <w:bottom w:w="80" w:type="dxa"/>
              <w:end w:w="100" w:type="dxa"/>
            </w:tcMar>
            <w:shd w:fill="EAF3F2"/>
          </w:tcPr>
          <w:p>
            <w:pPr>
              <w:spacing w:after="0"/>
            </w:pPr>
            <w:r>
              <w:rPr>
                <w:color w:val="24343A"/>
                <w:sz w:val="18"/>
              </w:rPr>
              <w:t>~100.00%</w:t>
            </w:r>
          </w:p>
        </w:tc>
      </w:tr>
    </w:tbl>
    <w:p>
      <w:pPr>
        <w:spacing w:after="20"/>
      </w:pPr>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chart1_delivery_status.png.png"/>
                    <pic:cNvPicPr/>
                  </pic:nvPicPr>
                  <pic:blipFill>
                    <a:blip r:embed="rId10"/>
                    <a:stretch>
                      <a:fillRect/>
                    </a:stretch>
                  </pic:blipFill>
                  <pic:spPr>
                    <a:xfrm>
                      <a:off x="0" y="0"/>
                      <a:ext cx="5669280" cy="3149600"/>
                    </a:xfrm>
                    <a:prstGeom prst="rect"/>
                  </pic:spPr>
                </pic:pic>
              </a:graphicData>
            </a:graphic>
          </wp:inline>
        </w:drawing>
      </w:r>
    </w:p>
    <w:p>
      <w:pPr>
        <w:jc w:val="center"/>
      </w:pPr>
      <w:r>
        <w:rPr>
          <w:i/>
          <w:color w:val="59686D"/>
          <w:sz w:val="16"/>
        </w:rPr>
        <w:t>Figure 1. Delivery-status counts and reported shares.</w:t>
      </w:r>
    </w:p>
    <w:p>
      <w:r>
        <w:t>Interpretation: late delivery is a prominent category and merits further investigation. The figures describe records, not necessarily unique orders or customers.</w:t>
      </w:r>
    </w:p>
    <w:p>
      <w:pPr>
        <w:pStyle w:val="Heading1"/>
      </w:pPr>
      <w:r>
        <w:t>5. Actual and Scheduled Shipping Duration</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6048"/>
            <w:shd w:fill="124E57"/>
            <w:vAlign w:val="center"/>
            <w:tcMar>
              <w:top w:w="80" w:type="dxa"/>
              <w:start w:w="100" w:type="dxa"/>
              <w:bottom w:w="80" w:type="dxa"/>
              <w:end w:w="100" w:type="dxa"/>
            </w:tcMar>
          </w:tcPr>
          <w:p>
            <w:r>
              <w:rPr>
                <w:b/>
                <w:color w:val="FFFFFF"/>
                <w:sz w:val="18"/>
              </w:rPr>
              <w:t>Duration statistic</w:t>
            </w:r>
          </w:p>
        </w:tc>
        <w:tc>
          <w:tcPr>
            <w:tcW w:type="dxa" w:w="3024"/>
            <w:shd w:fill="124E57"/>
            <w:vAlign w:val="center"/>
            <w:tcMar>
              <w:top w:w="80" w:type="dxa"/>
              <w:start w:w="100" w:type="dxa"/>
              <w:bottom w:w="80" w:type="dxa"/>
              <w:end w:w="100" w:type="dxa"/>
            </w:tcMar>
          </w:tcPr>
          <w:p>
            <w:r>
              <w:rPr>
                <w:b/>
                <w:color w:val="FFFFFF"/>
                <w:sz w:val="18"/>
              </w:rPr>
              <w:t>Reported value</w:t>
            </w:r>
          </w:p>
        </w:tc>
      </w:tr>
      <w:tr>
        <w:trPr>
          <w:cantSplit/>
        </w:trPr>
        <w:tc>
          <w:tcPr>
            <w:tcW w:type="dxa" w:w="6048"/>
            <w:vAlign w:val="center"/>
            <w:tcMar>
              <w:top w:w="80" w:type="dxa"/>
              <w:start w:w="100" w:type="dxa"/>
              <w:bottom w:w="80" w:type="dxa"/>
              <w:end w:w="100" w:type="dxa"/>
            </w:tcMar>
            <w:shd w:fill="EAF3F2"/>
          </w:tcPr>
          <w:p>
            <w:pPr>
              <w:spacing w:after="0"/>
            </w:pPr>
            <w:r>
              <w:rPr>
                <w:color w:val="24343A"/>
                <w:sz w:val="18"/>
              </w:rPr>
              <w:t>Mean actual shipping time</w:t>
            </w:r>
          </w:p>
        </w:tc>
        <w:tc>
          <w:tcPr>
            <w:tcW w:type="dxa" w:w="3024"/>
            <w:vAlign w:val="center"/>
            <w:tcMar>
              <w:top w:w="80" w:type="dxa"/>
              <w:start w:w="100" w:type="dxa"/>
              <w:bottom w:w="80" w:type="dxa"/>
              <w:end w:w="100" w:type="dxa"/>
            </w:tcMar>
            <w:shd w:fill="EAF3F2"/>
          </w:tcPr>
          <w:p>
            <w:pPr>
              <w:spacing w:after="0"/>
            </w:pPr>
            <w:r>
              <w:rPr>
                <w:color w:val="24343A"/>
                <w:sz w:val="18"/>
              </w:rPr>
              <w:t>3.50 days</w:t>
            </w:r>
          </w:p>
        </w:tc>
      </w:tr>
      <w:tr>
        <w:trPr>
          <w:cantSplit/>
        </w:trPr>
        <w:tc>
          <w:tcPr>
            <w:tcW w:type="dxa" w:w="6048"/>
            <w:vAlign w:val="center"/>
            <w:tcMar>
              <w:top w:w="80" w:type="dxa"/>
              <w:start w:w="100" w:type="dxa"/>
              <w:bottom w:w="80" w:type="dxa"/>
              <w:end w:w="100" w:type="dxa"/>
            </w:tcMar>
          </w:tcPr>
          <w:p>
            <w:pPr>
              <w:spacing w:after="0"/>
            </w:pPr>
            <w:r>
              <w:rPr>
                <w:color w:val="24343A"/>
                <w:sz w:val="18"/>
              </w:rPr>
              <w:t>Median actual shipping time</w:t>
            </w:r>
          </w:p>
        </w:tc>
        <w:tc>
          <w:tcPr>
            <w:tcW w:type="dxa" w:w="3024"/>
            <w:vAlign w:val="center"/>
            <w:tcMar>
              <w:top w:w="80" w:type="dxa"/>
              <w:start w:w="100" w:type="dxa"/>
              <w:bottom w:w="80" w:type="dxa"/>
              <w:end w:w="100" w:type="dxa"/>
            </w:tcMar>
          </w:tcPr>
          <w:p>
            <w:pPr>
              <w:spacing w:after="0"/>
            </w:pPr>
            <w:r>
              <w:rPr>
                <w:color w:val="24343A"/>
                <w:sz w:val="18"/>
              </w:rPr>
              <w:t>3 days</w:t>
            </w:r>
          </w:p>
        </w:tc>
      </w:tr>
      <w:tr>
        <w:trPr>
          <w:cantSplit/>
        </w:trPr>
        <w:tc>
          <w:tcPr>
            <w:tcW w:type="dxa" w:w="6048"/>
            <w:vAlign w:val="center"/>
            <w:tcMar>
              <w:top w:w="80" w:type="dxa"/>
              <w:start w:w="100" w:type="dxa"/>
              <w:bottom w:w="80" w:type="dxa"/>
              <w:end w:w="100" w:type="dxa"/>
            </w:tcMar>
            <w:shd w:fill="EAF3F2"/>
          </w:tcPr>
          <w:p>
            <w:pPr>
              <w:spacing w:after="0"/>
            </w:pPr>
            <w:r>
              <w:rPr>
                <w:color w:val="24343A"/>
                <w:sz w:val="18"/>
              </w:rPr>
              <w:t>Median scheduled shipping time</w:t>
            </w:r>
          </w:p>
        </w:tc>
        <w:tc>
          <w:tcPr>
            <w:tcW w:type="dxa" w:w="3024"/>
            <w:vAlign w:val="center"/>
            <w:tcMar>
              <w:top w:w="80" w:type="dxa"/>
              <w:start w:w="100" w:type="dxa"/>
              <w:bottom w:w="80" w:type="dxa"/>
              <w:end w:w="100" w:type="dxa"/>
            </w:tcMar>
            <w:shd w:fill="EAF3F2"/>
          </w:tcPr>
          <w:p>
            <w:pPr>
              <w:spacing w:after="0"/>
            </w:pPr>
            <w:r>
              <w:rPr>
                <w:color w:val="24343A"/>
                <w:sz w:val="18"/>
              </w:rPr>
              <w:t>4 days</w:t>
            </w:r>
          </w:p>
        </w:tc>
      </w:tr>
    </w:tbl>
    <w:p>
      <w:pPr>
        <w:spacing w:after="20"/>
      </w:pP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hart2_actual_vs_scheduled.png.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59686D"/>
          <w:sz w:val="16"/>
        </w:rPr>
        <w:t>Figure 2. Actual versus scheduled shipping days, from the original Week 3 visualization.</w:t>
      </w:r>
    </w:p>
    <w:p>
      <w:r>
        <w:t>Figure 2 provides the original actual-versus-scheduled comparison. The reported medians offer a summary, but schedule adherence should be calculated from paired record-level values using validated field definitions.</w:t>
      </w:r>
    </w:p>
    <w:p>
      <w:pPr>
        <w:pStyle w:val="Heading1"/>
      </w:pPr>
      <w:r>
        <w:t>6. Late-Delivery Risk by Shipping Mode</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4896"/>
            <w:shd w:fill="124E57"/>
            <w:vAlign w:val="center"/>
            <w:tcMar>
              <w:top w:w="80" w:type="dxa"/>
              <w:start w:w="100" w:type="dxa"/>
              <w:bottom w:w="80" w:type="dxa"/>
              <w:end w:w="100" w:type="dxa"/>
            </w:tcMar>
          </w:tcPr>
          <w:p>
            <w:r>
              <w:rPr>
                <w:b/>
                <w:color w:val="FFFFFF"/>
                <w:sz w:val="18"/>
              </w:rPr>
              <w:t>Shipping mode</w:t>
            </w:r>
          </w:p>
        </w:tc>
        <w:tc>
          <w:tcPr>
            <w:tcW w:type="dxa" w:w="4176"/>
            <w:shd w:fill="124E57"/>
            <w:vAlign w:val="center"/>
            <w:tcMar>
              <w:top w:w="80" w:type="dxa"/>
              <w:start w:w="100" w:type="dxa"/>
              <w:bottom w:w="80" w:type="dxa"/>
              <w:end w:w="100" w:type="dxa"/>
            </w:tcMar>
          </w:tcPr>
          <w:p>
            <w:r>
              <w:rPr>
                <w:b/>
                <w:color w:val="FFFFFF"/>
                <w:sz w:val="18"/>
              </w:rPr>
              <w:t>Reported late-delivery risk</w:t>
            </w:r>
          </w:p>
        </w:tc>
      </w:tr>
      <w:tr>
        <w:trPr>
          <w:cantSplit/>
        </w:trPr>
        <w:tc>
          <w:tcPr>
            <w:tcW w:type="dxa" w:w="4896"/>
            <w:vAlign w:val="center"/>
            <w:tcMar>
              <w:top w:w="80" w:type="dxa"/>
              <w:start w:w="100" w:type="dxa"/>
              <w:bottom w:w="80" w:type="dxa"/>
              <w:end w:w="100" w:type="dxa"/>
            </w:tcMar>
            <w:shd w:fill="EAF3F2"/>
          </w:tcPr>
          <w:p>
            <w:pPr>
              <w:spacing w:after="0"/>
            </w:pPr>
            <w:r>
              <w:rPr>
                <w:color w:val="24343A"/>
                <w:sz w:val="18"/>
              </w:rPr>
              <w:t>First Class</w:t>
            </w:r>
          </w:p>
        </w:tc>
        <w:tc>
          <w:tcPr>
            <w:tcW w:type="dxa" w:w="4176"/>
            <w:vAlign w:val="center"/>
            <w:tcMar>
              <w:top w:w="80" w:type="dxa"/>
              <w:start w:w="100" w:type="dxa"/>
              <w:bottom w:w="80" w:type="dxa"/>
              <w:end w:w="100" w:type="dxa"/>
            </w:tcMar>
            <w:shd w:fill="EAF3F2"/>
          </w:tcPr>
          <w:p>
            <w:pPr>
              <w:spacing w:after="0"/>
            </w:pPr>
            <w:r>
              <w:rPr>
                <w:color w:val="24343A"/>
                <w:sz w:val="18"/>
              </w:rPr>
              <w:t>95%</w:t>
            </w:r>
          </w:p>
        </w:tc>
      </w:tr>
      <w:tr>
        <w:trPr>
          <w:cantSplit/>
        </w:trPr>
        <w:tc>
          <w:tcPr>
            <w:tcW w:type="dxa" w:w="4896"/>
            <w:vAlign w:val="center"/>
            <w:tcMar>
              <w:top w:w="80" w:type="dxa"/>
              <w:start w:w="100" w:type="dxa"/>
              <w:bottom w:w="80" w:type="dxa"/>
              <w:end w:w="100" w:type="dxa"/>
            </w:tcMar>
          </w:tcPr>
          <w:p>
            <w:pPr>
              <w:spacing w:after="0"/>
            </w:pPr>
            <w:r>
              <w:rPr>
                <w:color w:val="24343A"/>
                <w:sz w:val="18"/>
              </w:rPr>
              <w:t>Second Class</w:t>
            </w:r>
          </w:p>
        </w:tc>
        <w:tc>
          <w:tcPr>
            <w:tcW w:type="dxa" w:w="4176"/>
            <w:vAlign w:val="center"/>
            <w:tcMar>
              <w:top w:w="80" w:type="dxa"/>
              <w:start w:w="100" w:type="dxa"/>
              <w:bottom w:w="80" w:type="dxa"/>
              <w:end w:w="100" w:type="dxa"/>
            </w:tcMar>
          </w:tcPr>
          <w:p>
            <w:pPr>
              <w:spacing w:after="0"/>
            </w:pPr>
            <w:r>
              <w:rPr>
                <w:color w:val="24343A"/>
                <w:sz w:val="18"/>
              </w:rPr>
              <w:t>77%</w:t>
            </w:r>
          </w:p>
        </w:tc>
      </w:tr>
      <w:tr>
        <w:trPr>
          <w:cantSplit/>
        </w:trPr>
        <w:tc>
          <w:tcPr>
            <w:tcW w:type="dxa" w:w="4896"/>
            <w:vAlign w:val="center"/>
            <w:tcMar>
              <w:top w:w="80" w:type="dxa"/>
              <w:start w:w="100" w:type="dxa"/>
              <w:bottom w:w="80" w:type="dxa"/>
              <w:end w:w="100" w:type="dxa"/>
            </w:tcMar>
            <w:shd w:fill="EAF3F2"/>
          </w:tcPr>
          <w:p>
            <w:pPr>
              <w:spacing w:after="0"/>
            </w:pPr>
            <w:r>
              <w:rPr>
                <w:color w:val="24343A"/>
                <w:sz w:val="18"/>
              </w:rPr>
              <w:t>Same Day</w:t>
            </w:r>
          </w:p>
        </w:tc>
        <w:tc>
          <w:tcPr>
            <w:tcW w:type="dxa" w:w="4176"/>
            <w:vAlign w:val="center"/>
            <w:tcMar>
              <w:top w:w="80" w:type="dxa"/>
              <w:start w:w="100" w:type="dxa"/>
              <w:bottom w:w="80" w:type="dxa"/>
              <w:end w:w="100" w:type="dxa"/>
            </w:tcMar>
            <w:shd w:fill="EAF3F2"/>
          </w:tcPr>
          <w:p>
            <w:pPr>
              <w:spacing w:after="0"/>
            </w:pPr>
            <w:r>
              <w:rPr>
                <w:color w:val="24343A"/>
                <w:sz w:val="18"/>
              </w:rPr>
              <w:t>46%</w:t>
            </w:r>
          </w:p>
        </w:tc>
      </w:tr>
      <w:tr>
        <w:trPr>
          <w:cantSplit/>
        </w:trPr>
        <w:tc>
          <w:tcPr>
            <w:tcW w:type="dxa" w:w="4896"/>
            <w:vAlign w:val="center"/>
            <w:tcMar>
              <w:top w:w="80" w:type="dxa"/>
              <w:start w:w="100" w:type="dxa"/>
              <w:bottom w:w="80" w:type="dxa"/>
              <w:end w:w="100" w:type="dxa"/>
            </w:tcMar>
          </w:tcPr>
          <w:p>
            <w:pPr>
              <w:spacing w:after="0"/>
            </w:pPr>
            <w:r>
              <w:rPr>
                <w:color w:val="24343A"/>
                <w:sz w:val="18"/>
              </w:rPr>
              <w:t>Standard Class</w:t>
            </w:r>
          </w:p>
        </w:tc>
        <w:tc>
          <w:tcPr>
            <w:tcW w:type="dxa" w:w="4176"/>
            <w:vAlign w:val="center"/>
            <w:tcMar>
              <w:top w:w="80" w:type="dxa"/>
              <w:start w:w="100" w:type="dxa"/>
              <w:bottom w:w="80" w:type="dxa"/>
              <w:end w:w="100" w:type="dxa"/>
            </w:tcMar>
          </w:tcPr>
          <w:p>
            <w:pPr>
              <w:spacing w:after="0"/>
            </w:pPr>
            <w:r>
              <w:rPr>
                <w:color w:val="24343A"/>
                <w:sz w:val="18"/>
              </w:rPr>
              <w:t>38%</w:t>
            </w:r>
          </w:p>
        </w:tc>
      </w:tr>
    </w:tbl>
    <w:p>
      <w:pPr>
        <w:spacing w:after="20"/>
      </w:pP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chart3_risk_by_shipping_mode.png.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59686D"/>
          <w:sz w:val="16"/>
        </w:rPr>
        <w:t>Figure 3. Reported risk percentages by shipping mode.</w:t>
      </w:r>
    </w:p>
    <w:p>
      <w:r>
        <w:t>First Class has the highest supplied percentage and Standard Class the lowest. The calculation method and denominator were not supplied here. Confirm whether these percentages use the existing Late_delivery_risk field or a separately computed delivery outcome; the measures should not be treated as interchangeable without verification. These comparisons do not establish that shipping mode causes delays.</w:t>
      </w:r>
    </w:p>
    <w:p>
      <w:pPr>
        <w:pStyle w:val="Heading1"/>
      </w:pPr>
      <w:r>
        <w:t>7. Correlation Analysis</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4320"/>
            <w:shd w:fill="124E57"/>
            <w:vAlign w:val="center"/>
            <w:tcMar>
              <w:top w:w="80" w:type="dxa"/>
              <w:start w:w="100" w:type="dxa"/>
              <w:bottom w:w="80" w:type="dxa"/>
              <w:end w:w="100" w:type="dxa"/>
            </w:tcMar>
          </w:tcPr>
          <w:p>
            <w:r>
              <w:rPr>
                <w:b/>
                <w:color w:val="FFFFFF"/>
                <w:sz w:val="18"/>
              </w:rPr>
              <w:t>Variable pair</w:t>
            </w:r>
          </w:p>
        </w:tc>
        <w:tc>
          <w:tcPr>
            <w:tcW w:type="dxa" w:w="2592"/>
            <w:shd w:fill="124E57"/>
            <w:vAlign w:val="center"/>
            <w:tcMar>
              <w:top w:w="80" w:type="dxa"/>
              <w:start w:w="100" w:type="dxa"/>
              <w:bottom w:w="80" w:type="dxa"/>
              <w:end w:w="100" w:type="dxa"/>
            </w:tcMar>
          </w:tcPr>
          <w:p>
            <w:r>
              <w:rPr>
                <w:b/>
                <w:color w:val="FFFFFF"/>
                <w:sz w:val="18"/>
              </w:rPr>
              <w:t>Reported correlation</w:t>
            </w:r>
          </w:p>
        </w:tc>
        <w:tc>
          <w:tcPr>
            <w:tcW w:type="dxa" w:w="2160"/>
            <w:shd w:fill="124E57"/>
            <w:vAlign w:val="center"/>
            <w:tcMar>
              <w:top w:w="80" w:type="dxa"/>
              <w:start w:w="100" w:type="dxa"/>
              <w:bottom w:w="80" w:type="dxa"/>
              <w:end w:w="100" w:type="dxa"/>
            </w:tcMar>
          </w:tcPr>
          <w:p>
            <w:r>
              <w:rPr>
                <w:b/>
                <w:color w:val="FFFFFF"/>
                <w:sz w:val="18"/>
              </w:rPr>
              <w:t>Interpretation</w:t>
            </w:r>
          </w:p>
        </w:tc>
      </w:tr>
      <w:tr>
        <w:trPr>
          <w:cantSplit/>
        </w:trPr>
        <w:tc>
          <w:tcPr>
            <w:tcW w:type="dxa" w:w="4320"/>
            <w:vAlign w:val="center"/>
            <w:tcMar>
              <w:top w:w="80" w:type="dxa"/>
              <w:start w:w="100" w:type="dxa"/>
              <w:bottom w:w="80" w:type="dxa"/>
              <w:end w:w="100" w:type="dxa"/>
            </w:tcMar>
            <w:shd w:fill="EAF3F2"/>
          </w:tcPr>
          <w:p>
            <w:pPr>
              <w:spacing w:after="0"/>
            </w:pPr>
            <w:r>
              <w:rPr>
                <w:color w:val="24343A"/>
                <w:sz w:val="18"/>
              </w:rPr>
              <w:t>Actual shipping days and late-delivery risk</w:t>
            </w:r>
          </w:p>
        </w:tc>
        <w:tc>
          <w:tcPr>
            <w:tcW w:type="dxa" w:w="2592"/>
            <w:vAlign w:val="center"/>
            <w:tcMar>
              <w:top w:w="80" w:type="dxa"/>
              <w:start w:w="100" w:type="dxa"/>
              <w:bottom w:w="80" w:type="dxa"/>
              <w:end w:w="100" w:type="dxa"/>
            </w:tcMar>
            <w:shd w:fill="EAF3F2"/>
          </w:tcPr>
          <w:p>
            <w:pPr>
              <w:spacing w:after="0"/>
            </w:pPr>
            <w:r>
              <w:rPr>
                <w:color w:val="24343A"/>
                <w:sz w:val="18"/>
              </w:rPr>
              <w:t>0.401</w:t>
            </w:r>
          </w:p>
        </w:tc>
        <w:tc>
          <w:tcPr>
            <w:tcW w:type="dxa" w:w="2160"/>
            <w:vAlign w:val="center"/>
            <w:tcMar>
              <w:top w:w="80" w:type="dxa"/>
              <w:start w:w="100" w:type="dxa"/>
              <w:bottom w:w="80" w:type="dxa"/>
              <w:end w:w="100" w:type="dxa"/>
            </w:tcMar>
            <w:shd w:fill="EAF3F2"/>
          </w:tcPr>
          <w:p>
            <w:pPr>
              <w:spacing w:after="0"/>
            </w:pPr>
            <w:r>
              <w:rPr>
                <w:color w:val="24343A"/>
                <w:sz w:val="18"/>
              </w:rPr>
              <w:t>Positive association</w:t>
            </w:r>
          </w:p>
        </w:tc>
      </w:tr>
      <w:tr>
        <w:trPr>
          <w:cantSplit/>
        </w:trPr>
        <w:tc>
          <w:tcPr>
            <w:tcW w:type="dxa" w:w="4320"/>
            <w:vAlign w:val="center"/>
            <w:tcMar>
              <w:top w:w="80" w:type="dxa"/>
              <w:start w:w="100" w:type="dxa"/>
              <w:bottom w:w="80" w:type="dxa"/>
              <w:end w:w="100" w:type="dxa"/>
            </w:tcMar>
          </w:tcPr>
          <w:p>
            <w:pPr>
              <w:spacing w:after="0"/>
            </w:pPr>
            <w:r>
              <w:rPr>
                <w:color w:val="24343A"/>
                <w:sz w:val="18"/>
              </w:rPr>
              <w:t>Scheduled shipping days and late-delivery risk</w:t>
            </w:r>
          </w:p>
        </w:tc>
        <w:tc>
          <w:tcPr>
            <w:tcW w:type="dxa" w:w="2592"/>
            <w:vAlign w:val="center"/>
            <w:tcMar>
              <w:top w:w="80" w:type="dxa"/>
              <w:start w:w="100" w:type="dxa"/>
              <w:bottom w:w="80" w:type="dxa"/>
              <w:end w:w="100" w:type="dxa"/>
            </w:tcMar>
          </w:tcPr>
          <w:p>
            <w:pPr>
              <w:spacing w:after="0"/>
            </w:pPr>
            <w:r>
              <w:rPr>
                <w:color w:val="24343A"/>
                <w:sz w:val="18"/>
              </w:rPr>
              <w:t>-0.369</w:t>
            </w:r>
          </w:p>
        </w:tc>
        <w:tc>
          <w:tcPr>
            <w:tcW w:type="dxa" w:w="2160"/>
            <w:vAlign w:val="center"/>
            <w:tcMar>
              <w:top w:w="80" w:type="dxa"/>
              <w:start w:w="100" w:type="dxa"/>
              <w:bottom w:w="80" w:type="dxa"/>
              <w:end w:w="100" w:type="dxa"/>
            </w:tcMar>
          </w:tcPr>
          <w:p>
            <w:pPr>
              <w:spacing w:after="0"/>
            </w:pPr>
            <w:r>
              <w:rPr>
                <w:color w:val="24343A"/>
                <w:sz w:val="18"/>
              </w:rPr>
              <w:t>Negative association</w:t>
            </w:r>
          </w:p>
        </w:tc>
      </w:tr>
      <w:tr>
        <w:trPr>
          <w:cantSplit/>
        </w:trPr>
        <w:tc>
          <w:tcPr>
            <w:tcW w:type="dxa" w:w="4320"/>
            <w:vAlign w:val="center"/>
            <w:tcMar>
              <w:top w:w="80" w:type="dxa"/>
              <w:start w:w="100" w:type="dxa"/>
              <w:bottom w:w="80" w:type="dxa"/>
              <w:end w:w="100" w:type="dxa"/>
            </w:tcMar>
            <w:shd w:fill="EAF3F2"/>
          </w:tcPr>
          <w:p>
            <w:pPr>
              <w:spacing w:after="0"/>
            </w:pPr>
            <w:r>
              <w:rPr>
                <w:color w:val="24343A"/>
                <w:sz w:val="18"/>
              </w:rPr>
              <w:t>Sales and Order Profit Per Order</w:t>
            </w:r>
          </w:p>
        </w:tc>
        <w:tc>
          <w:tcPr>
            <w:tcW w:type="dxa" w:w="2592"/>
            <w:vAlign w:val="center"/>
            <w:tcMar>
              <w:top w:w="80" w:type="dxa"/>
              <w:start w:w="100" w:type="dxa"/>
              <w:bottom w:w="80" w:type="dxa"/>
              <w:end w:w="100" w:type="dxa"/>
            </w:tcMar>
            <w:shd w:fill="EAF3F2"/>
          </w:tcPr>
          <w:p>
            <w:pPr>
              <w:spacing w:after="0"/>
            </w:pPr>
            <w:r>
              <w:rPr>
                <w:color w:val="24343A"/>
                <w:sz w:val="18"/>
              </w:rPr>
              <w:t>0.13</w:t>
            </w:r>
          </w:p>
        </w:tc>
        <w:tc>
          <w:tcPr>
            <w:tcW w:type="dxa" w:w="2160"/>
            <w:vAlign w:val="center"/>
            <w:tcMar>
              <w:top w:w="80" w:type="dxa"/>
              <w:start w:w="100" w:type="dxa"/>
              <w:bottom w:w="80" w:type="dxa"/>
              <w:end w:w="100" w:type="dxa"/>
            </w:tcMar>
            <w:shd w:fill="EAF3F2"/>
          </w:tcPr>
          <w:p>
            <w:pPr>
              <w:spacing w:after="0"/>
            </w:pPr>
            <w:r>
              <w:rPr>
                <w:color w:val="24343A"/>
                <w:sz w:val="18"/>
              </w:rPr>
              <w:t>Weak positive association</w:t>
            </w:r>
          </w:p>
        </w:tc>
      </w:tr>
    </w:tbl>
    <w:p>
      <w:pPr>
        <w:spacing w:after="20"/>
      </w:pPr>
    </w:p>
    <w:p>
      <w:pPr>
        <w:jc w:val="center"/>
      </w:pPr>
      <w:r>
        <w:drawing>
          <wp:inline xmlns:a="http://schemas.openxmlformats.org/drawingml/2006/main" xmlns:pic="http://schemas.openxmlformats.org/drawingml/2006/picture">
            <wp:extent cx="5669280" cy="3968496"/>
            <wp:docPr id="4" name="Picture 4"/>
            <wp:cNvGraphicFramePr>
              <a:graphicFrameLocks noChangeAspect="1"/>
            </wp:cNvGraphicFramePr>
            <a:graphic>
              <a:graphicData uri="http://schemas.openxmlformats.org/drawingml/2006/picture">
                <pic:pic>
                  <pic:nvPicPr>
                    <pic:cNvPr id="0" name="chart4_correlation_heatmap.png.png"/>
                    <pic:cNvPicPr/>
                  </pic:nvPicPr>
                  <pic:blipFill>
                    <a:blip r:embed="rId13"/>
                    <a:stretch>
                      <a:fillRect/>
                    </a:stretch>
                  </pic:blipFill>
                  <pic:spPr>
                    <a:xfrm>
                      <a:off x="0" y="0"/>
                      <a:ext cx="5669280" cy="3968496"/>
                    </a:xfrm>
                    <a:prstGeom prst="rect"/>
                  </pic:spPr>
                </pic:pic>
              </a:graphicData>
            </a:graphic>
          </wp:inline>
        </w:drawing>
      </w:r>
    </w:p>
    <w:p>
      <w:pPr>
        <w:jc w:val="center"/>
      </w:pPr>
      <w:r>
        <w:rPr>
          <w:i/>
          <w:color w:val="59686D"/>
          <w:sz w:val="16"/>
        </w:rPr>
        <w:t>Figure 4. Original correlation heatmap of the selected logistics and financial metrics.</w:t>
      </w:r>
    </w:p>
    <w:p>
      <w:r>
        <w:t>The original heatmap reports a correlation of 0.40 between actual shipping days and late-delivery risk, -0.37 between scheduled shipping days and late-delivery risk, and 0.13 between Sales and Order Profit Per Order. The plotted values are rounded to two decimal places. Correlation does not establish causation, and interpretation depends on variable definitions and encoding.</w:t>
      </w:r>
    </w:p>
    <w:p>
      <w:pPr>
        <w:pStyle w:val="Heading1"/>
      </w:pPr>
      <w:r>
        <w:t>8. Key Performance Indicators</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3456"/>
            <w:shd w:fill="124E57"/>
            <w:vAlign w:val="center"/>
            <w:tcMar>
              <w:top w:w="80" w:type="dxa"/>
              <w:start w:w="100" w:type="dxa"/>
              <w:bottom w:w="80" w:type="dxa"/>
              <w:end w:w="100" w:type="dxa"/>
            </w:tcMar>
          </w:tcPr>
          <w:p>
            <w:r>
              <w:rPr>
                <w:b/>
                <w:color w:val="FFFFFF"/>
                <w:sz w:val="18"/>
              </w:rPr>
              <w:t>KPI</w:t>
            </w:r>
          </w:p>
        </w:tc>
        <w:tc>
          <w:tcPr>
            <w:tcW w:type="dxa" w:w="2160"/>
            <w:shd w:fill="124E57"/>
            <w:vAlign w:val="center"/>
            <w:tcMar>
              <w:top w:w="80" w:type="dxa"/>
              <w:start w:w="100" w:type="dxa"/>
              <w:bottom w:w="80" w:type="dxa"/>
              <w:end w:w="100" w:type="dxa"/>
            </w:tcMar>
          </w:tcPr>
          <w:p>
            <w:r>
              <w:rPr>
                <w:b/>
                <w:color w:val="FFFFFF"/>
                <w:sz w:val="18"/>
              </w:rPr>
              <w:t>Reported value</w:t>
            </w:r>
          </w:p>
        </w:tc>
        <w:tc>
          <w:tcPr>
            <w:tcW w:type="dxa" w:w="3456"/>
            <w:shd w:fill="124E57"/>
            <w:vAlign w:val="center"/>
            <w:tcMar>
              <w:top w:w="80" w:type="dxa"/>
              <w:start w:w="100" w:type="dxa"/>
              <w:bottom w:w="80" w:type="dxa"/>
              <w:end w:w="100" w:type="dxa"/>
            </w:tcMar>
          </w:tcPr>
          <w:p>
            <w:r>
              <w:rPr>
                <w:b/>
                <w:color w:val="FFFFFF"/>
                <w:sz w:val="18"/>
              </w:rPr>
              <w:t>Use</w:t>
            </w:r>
          </w:p>
        </w:tc>
      </w:tr>
      <w:tr>
        <w:trPr>
          <w:cantSplit/>
        </w:trPr>
        <w:tc>
          <w:tcPr>
            <w:tcW w:type="dxa" w:w="3456"/>
            <w:vAlign w:val="center"/>
            <w:tcMar>
              <w:top w:w="80" w:type="dxa"/>
              <w:start w:w="100" w:type="dxa"/>
              <w:bottom w:w="80" w:type="dxa"/>
              <w:end w:w="100" w:type="dxa"/>
            </w:tcMar>
            <w:shd w:fill="EAF3F2"/>
          </w:tcPr>
          <w:p>
            <w:pPr>
              <w:spacing w:after="0"/>
            </w:pPr>
            <w:r>
              <w:rPr>
                <w:color w:val="24343A"/>
                <w:sz w:val="18"/>
              </w:rPr>
              <w:t>Total dataset records</w:t>
            </w:r>
          </w:p>
        </w:tc>
        <w:tc>
          <w:tcPr>
            <w:tcW w:type="dxa" w:w="2160"/>
            <w:vAlign w:val="center"/>
            <w:tcMar>
              <w:top w:w="80" w:type="dxa"/>
              <w:start w:w="100" w:type="dxa"/>
              <w:bottom w:w="80" w:type="dxa"/>
              <w:end w:w="100" w:type="dxa"/>
            </w:tcMar>
            <w:shd w:fill="EAF3F2"/>
          </w:tcPr>
          <w:p>
            <w:pPr>
              <w:spacing w:after="0"/>
            </w:pPr>
            <w:r>
              <w:rPr>
                <w:color w:val="24343A"/>
                <w:sz w:val="18"/>
              </w:rPr>
              <w:t>180,519</w:t>
            </w:r>
          </w:p>
        </w:tc>
        <w:tc>
          <w:tcPr>
            <w:tcW w:type="dxa" w:w="3456"/>
            <w:vAlign w:val="center"/>
            <w:tcMar>
              <w:top w:w="80" w:type="dxa"/>
              <w:start w:w="100" w:type="dxa"/>
              <w:bottom w:w="80" w:type="dxa"/>
              <w:end w:w="100" w:type="dxa"/>
            </w:tcMar>
            <w:shd w:fill="EAF3F2"/>
          </w:tcPr>
          <w:p>
            <w:pPr>
              <w:spacing w:after="0"/>
            </w:pPr>
            <w:r>
              <w:rPr>
                <w:color w:val="24343A"/>
                <w:sz w:val="18"/>
              </w:rPr>
              <w:t>Working dataset size</w:t>
            </w:r>
          </w:p>
        </w:tc>
      </w:tr>
      <w:tr>
        <w:trPr>
          <w:cantSplit/>
        </w:trPr>
        <w:tc>
          <w:tcPr>
            <w:tcW w:type="dxa" w:w="3456"/>
            <w:vAlign w:val="center"/>
            <w:tcMar>
              <w:top w:w="80" w:type="dxa"/>
              <w:start w:w="100" w:type="dxa"/>
              <w:bottom w:w="80" w:type="dxa"/>
              <w:end w:w="100" w:type="dxa"/>
            </w:tcMar>
          </w:tcPr>
          <w:p>
            <w:pPr>
              <w:spacing w:after="0"/>
            </w:pPr>
            <w:r>
              <w:rPr>
                <w:color w:val="24343A"/>
                <w:sz w:val="18"/>
              </w:rPr>
              <w:t>Late-delivery records</w:t>
            </w:r>
          </w:p>
        </w:tc>
        <w:tc>
          <w:tcPr>
            <w:tcW w:type="dxa" w:w="2160"/>
            <w:vAlign w:val="center"/>
            <w:tcMar>
              <w:top w:w="80" w:type="dxa"/>
              <w:start w:w="100" w:type="dxa"/>
              <w:bottom w:w="80" w:type="dxa"/>
              <w:end w:w="100" w:type="dxa"/>
            </w:tcMar>
          </w:tcPr>
          <w:p>
            <w:pPr>
              <w:spacing w:after="0"/>
            </w:pPr>
            <w:r>
              <w:rPr>
                <w:color w:val="24343A"/>
                <w:sz w:val="18"/>
              </w:rPr>
              <w:t>98,977</w:t>
            </w:r>
          </w:p>
        </w:tc>
        <w:tc>
          <w:tcPr>
            <w:tcW w:type="dxa" w:w="3456"/>
            <w:vAlign w:val="center"/>
            <w:tcMar>
              <w:top w:w="80" w:type="dxa"/>
              <w:start w:w="100" w:type="dxa"/>
              <w:bottom w:w="80" w:type="dxa"/>
              <w:end w:w="100" w:type="dxa"/>
            </w:tcMar>
          </w:tcPr>
          <w:p>
            <w:pPr>
              <w:spacing w:after="0"/>
            </w:pPr>
            <w:r>
              <w:rPr>
                <w:color w:val="24343A"/>
                <w:sz w:val="18"/>
              </w:rPr>
              <w:t>Record count classified as late</w:t>
            </w:r>
          </w:p>
        </w:tc>
      </w:tr>
      <w:tr>
        <w:trPr>
          <w:cantSplit/>
        </w:trPr>
        <w:tc>
          <w:tcPr>
            <w:tcW w:type="dxa" w:w="3456"/>
            <w:vAlign w:val="center"/>
            <w:tcMar>
              <w:top w:w="80" w:type="dxa"/>
              <w:start w:w="100" w:type="dxa"/>
              <w:bottom w:w="80" w:type="dxa"/>
              <w:end w:w="100" w:type="dxa"/>
            </w:tcMar>
            <w:shd w:fill="EAF3F2"/>
          </w:tcPr>
          <w:p>
            <w:pPr>
              <w:spacing w:after="0"/>
            </w:pPr>
            <w:r>
              <w:rPr>
                <w:color w:val="24343A"/>
                <w:sz w:val="18"/>
              </w:rPr>
              <w:t>Late-delivery record share</w:t>
            </w:r>
          </w:p>
        </w:tc>
        <w:tc>
          <w:tcPr>
            <w:tcW w:type="dxa" w:w="2160"/>
            <w:vAlign w:val="center"/>
            <w:tcMar>
              <w:top w:w="80" w:type="dxa"/>
              <w:start w:w="100" w:type="dxa"/>
              <w:bottom w:w="80" w:type="dxa"/>
              <w:end w:w="100" w:type="dxa"/>
            </w:tcMar>
            <w:shd w:fill="EAF3F2"/>
          </w:tcPr>
          <w:p>
            <w:pPr>
              <w:spacing w:after="0"/>
            </w:pPr>
            <w:r>
              <w:rPr>
                <w:color w:val="24343A"/>
                <w:sz w:val="18"/>
              </w:rPr>
              <w:t>54.83%</w:t>
            </w:r>
          </w:p>
        </w:tc>
        <w:tc>
          <w:tcPr>
            <w:tcW w:type="dxa" w:w="3456"/>
            <w:vAlign w:val="center"/>
            <w:tcMar>
              <w:top w:w="80" w:type="dxa"/>
              <w:start w:w="100" w:type="dxa"/>
              <w:bottom w:w="80" w:type="dxa"/>
              <w:end w:w="100" w:type="dxa"/>
            </w:tcMar>
            <w:shd w:fill="EAF3F2"/>
          </w:tcPr>
          <w:p>
            <w:pPr>
              <w:spacing w:after="0"/>
            </w:pPr>
            <w:r>
              <w:rPr>
                <w:color w:val="24343A"/>
                <w:sz w:val="18"/>
              </w:rPr>
              <w:t>Proportion of records classified as late</w:t>
            </w:r>
          </w:p>
        </w:tc>
      </w:tr>
      <w:tr>
        <w:trPr>
          <w:cantSplit/>
        </w:trPr>
        <w:tc>
          <w:tcPr>
            <w:tcW w:type="dxa" w:w="3456"/>
            <w:vAlign w:val="center"/>
            <w:tcMar>
              <w:top w:w="80" w:type="dxa"/>
              <w:start w:w="100" w:type="dxa"/>
              <w:bottom w:w="80" w:type="dxa"/>
              <w:end w:w="100" w:type="dxa"/>
            </w:tcMar>
          </w:tcPr>
          <w:p>
            <w:pPr>
              <w:spacing w:after="0"/>
            </w:pPr>
            <w:r>
              <w:rPr>
                <w:color w:val="24343A"/>
                <w:sz w:val="18"/>
              </w:rPr>
              <w:t>Mean actual shipping time</w:t>
            </w:r>
          </w:p>
        </w:tc>
        <w:tc>
          <w:tcPr>
            <w:tcW w:type="dxa" w:w="2160"/>
            <w:vAlign w:val="center"/>
            <w:tcMar>
              <w:top w:w="80" w:type="dxa"/>
              <w:start w:w="100" w:type="dxa"/>
              <w:bottom w:w="80" w:type="dxa"/>
              <w:end w:w="100" w:type="dxa"/>
            </w:tcMar>
          </w:tcPr>
          <w:p>
            <w:pPr>
              <w:spacing w:after="0"/>
            </w:pPr>
            <w:r>
              <w:rPr>
                <w:color w:val="24343A"/>
                <w:sz w:val="18"/>
              </w:rPr>
              <w:t>3.50 days</w:t>
            </w:r>
          </w:p>
        </w:tc>
        <w:tc>
          <w:tcPr>
            <w:tcW w:type="dxa" w:w="3456"/>
            <w:vAlign w:val="center"/>
            <w:tcMar>
              <w:top w:w="80" w:type="dxa"/>
              <w:start w:w="100" w:type="dxa"/>
              <w:bottom w:w="80" w:type="dxa"/>
              <w:end w:w="100" w:type="dxa"/>
            </w:tcMar>
          </w:tcPr>
          <w:p>
            <w:pPr>
              <w:spacing w:after="0"/>
            </w:pPr>
            <w:r>
              <w:rPr>
                <w:color w:val="24343A"/>
                <w:sz w:val="18"/>
              </w:rPr>
              <w:t>Average actual duration</w:t>
            </w:r>
          </w:p>
        </w:tc>
      </w:tr>
      <w:tr>
        <w:trPr>
          <w:cantSplit/>
        </w:trPr>
        <w:tc>
          <w:tcPr>
            <w:tcW w:type="dxa" w:w="3456"/>
            <w:vAlign w:val="center"/>
            <w:tcMar>
              <w:top w:w="80" w:type="dxa"/>
              <w:start w:w="100" w:type="dxa"/>
              <w:bottom w:w="80" w:type="dxa"/>
              <w:end w:w="100" w:type="dxa"/>
            </w:tcMar>
            <w:shd w:fill="EAF3F2"/>
          </w:tcPr>
          <w:p>
            <w:pPr>
              <w:spacing w:after="0"/>
            </w:pPr>
            <w:r>
              <w:rPr>
                <w:color w:val="24343A"/>
                <w:sz w:val="18"/>
              </w:rPr>
              <w:t>Median actual shipping time</w:t>
            </w:r>
          </w:p>
        </w:tc>
        <w:tc>
          <w:tcPr>
            <w:tcW w:type="dxa" w:w="2160"/>
            <w:vAlign w:val="center"/>
            <w:tcMar>
              <w:top w:w="80" w:type="dxa"/>
              <w:start w:w="100" w:type="dxa"/>
              <w:bottom w:w="80" w:type="dxa"/>
              <w:end w:w="100" w:type="dxa"/>
            </w:tcMar>
            <w:shd w:fill="EAF3F2"/>
          </w:tcPr>
          <w:p>
            <w:pPr>
              <w:spacing w:after="0"/>
            </w:pPr>
            <w:r>
              <w:rPr>
                <w:color w:val="24343A"/>
                <w:sz w:val="18"/>
              </w:rPr>
              <w:t>3 days</w:t>
            </w:r>
          </w:p>
        </w:tc>
        <w:tc>
          <w:tcPr>
            <w:tcW w:type="dxa" w:w="3456"/>
            <w:vAlign w:val="center"/>
            <w:tcMar>
              <w:top w:w="80" w:type="dxa"/>
              <w:start w:w="100" w:type="dxa"/>
              <w:bottom w:w="80" w:type="dxa"/>
              <w:end w:w="100" w:type="dxa"/>
            </w:tcMar>
            <w:shd w:fill="EAF3F2"/>
          </w:tcPr>
          <w:p>
            <w:pPr>
              <w:spacing w:after="0"/>
            </w:pPr>
            <w:r>
              <w:rPr>
                <w:color w:val="24343A"/>
                <w:sz w:val="18"/>
              </w:rPr>
              <w:t>Central actual duration</w:t>
            </w:r>
          </w:p>
        </w:tc>
      </w:tr>
      <w:tr>
        <w:trPr>
          <w:cantSplit/>
        </w:trPr>
        <w:tc>
          <w:tcPr>
            <w:tcW w:type="dxa" w:w="3456"/>
            <w:vAlign w:val="center"/>
            <w:tcMar>
              <w:top w:w="80" w:type="dxa"/>
              <w:start w:w="100" w:type="dxa"/>
              <w:bottom w:w="80" w:type="dxa"/>
              <w:end w:w="100" w:type="dxa"/>
            </w:tcMar>
          </w:tcPr>
          <w:p>
            <w:pPr>
              <w:spacing w:after="0"/>
            </w:pPr>
            <w:r>
              <w:rPr>
                <w:color w:val="24343A"/>
                <w:sz w:val="18"/>
              </w:rPr>
              <w:t>Median scheduled shipping time</w:t>
            </w:r>
          </w:p>
        </w:tc>
        <w:tc>
          <w:tcPr>
            <w:tcW w:type="dxa" w:w="2160"/>
            <w:vAlign w:val="center"/>
            <w:tcMar>
              <w:top w:w="80" w:type="dxa"/>
              <w:start w:w="100" w:type="dxa"/>
              <w:bottom w:w="80" w:type="dxa"/>
              <w:end w:w="100" w:type="dxa"/>
            </w:tcMar>
          </w:tcPr>
          <w:p>
            <w:pPr>
              <w:spacing w:after="0"/>
            </w:pPr>
            <w:r>
              <w:rPr>
                <w:color w:val="24343A"/>
                <w:sz w:val="18"/>
              </w:rPr>
              <w:t>4 days</w:t>
            </w:r>
          </w:p>
        </w:tc>
        <w:tc>
          <w:tcPr>
            <w:tcW w:type="dxa" w:w="3456"/>
            <w:vAlign w:val="center"/>
            <w:tcMar>
              <w:top w:w="80" w:type="dxa"/>
              <w:start w:w="100" w:type="dxa"/>
              <w:bottom w:w="80" w:type="dxa"/>
              <w:end w:w="100" w:type="dxa"/>
            </w:tcMar>
          </w:tcPr>
          <w:p>
            <w:pPr>
              <w:spacing w:after="0"/>
            </w:pPr>
            <w:r>
              <w:rPr>
                <w:color w:val="24343A"/>
                <w:sz w:val="18"/>
              </w:rPr>
              <w:t>Central scheduled duration</w:t>
            </w:r>
          </w:p>
        </w:tc>
      </w:tr>
      <w:tr>
        <w:trPr>
          <w:cantSplit/>
        </w:trPr>
        <w:tc>
          <w:tcPr>
            <w:tcW w:type="dxa" w:w="3456"/>
            <w:vAlign w:val="center"/>
            <w:tcMar>
              <w:top w:w="80" w:type="dxa"/>
              <w:start w:w="100" w:type="dxa"/>
              <w:bottom w:w="80" w:type="dxa"/>
              <w:end w:w="100" w:type="dxa"/>
            </w:tcMar>
            <w:shd w:fill="EAF3F2"/>
          </w:tcPr>
          <w:p>
            <w:pPr>
              <w:spacing w:after="0"/>
            </w:pPr>
            <w:r>
              <w:rPr>
                <w:color w:val="24343A"/>
                <w:sz w:val="18"/>
              </w:rPr>
              <w:t>First Class reported risk</w:t>
            </w:r>
          </w:p>
        </w:tc>
        <w:tc>
          <w:tcPr>
            <w:tcW w:type="dxa" w:w="2160"/>
            <w:vAlign w:val="center"/>
            <w:tcMar>
              <w:top w:w="80" w:type="dxa"/>
              <w:start w:w="100" w:type="dxa"/>
              <w:bottom w:w="80" w:type="dxa"/>
              <w:end w:w="100" w:type="dxa"/>
            </w:tcMar>
            <w:shd w:fill="EAF3F2"/>
          </w:tcPr>
          <w:p>
            <w:pPr>
              <w:spacing w:after="0"/>
            </w:pPr>
            <w:r>
              <w:rPr>
                <w:color w:val="24343A"/>
                <w:sz w:val="18"/>
              </w:rPr>
              <w:t>95%</w:t>
            </w:r>
          </w:p>
        </w:tc>
        <w:tc>
          <w:tcPr>
            <w:tcW w:type="dxa" w:w="3456"/>
            <w:vAlign w:val="center"/>
            <w:tcMar>
              <w:top w:w="80" w:type="dxa"/>
              <w:start w:w="100" w:type="dxa"/>
              <w:bottom w:w="80" w:type="dxa"/>
              <w:end w:w="100" w:type="dxa"/>
            </w:tcMar>
            <w:shd w:fill="EAF3F2"/>
          </w:tcPr>
          <w:p>
            <w:pPr>
              <w:spacing w:after="0"/>
            </w:pPr>
            <w:r>
              <w:rPr>
                <w:color w:val="24343A"/>
                <w:sz w:val="18"/>
              </w:rPr>
              <w:t>Shipping-mode comparison</w:t>
            </w:r>
          </w:p>
        </w:tc>
      </w:tr>
      <w:tr>
        <w:trPr>
          <w:cantSplit/>
        </w:trPr>
        <w:tc>
          <w:tcPr>
            <w:tcW w:type="dxa" w:w="3456"/>
            <w:vAlign w:val="center"/>
            <w:tcMar>
              <w:top w:w="80" w:type="dxa"/>
              <w:start w:w="100" w:type="dxa"/>
              <w:bottom w:w="80" w:type="dxa"/>
              <w:end w:w="100" w:type="dxa"/>
            </w:tcMar>
          </w:tcPr>
          <w:p>
            <w:pPr>
              <w:spacing w:after="0"/>
            </w:pPr>
            <w:r>
              <w:rPr>
                <w:color w:val="24343A"/>
                <w:sz w:val="18"/>
              </w:rPr>
              <w:t>Second Class reported risk</w:t>
            </w:r>
          </w:p>
        </w:tc>
        <w:tc>
          <w:tcPr>
            <w:tcW w:type="dxa" w:w="2160"/>
            <w:vAlign w:val="center"/>
            <w:tcMar>
              <w:top w:w="80" w:type="dxa"/>
              <w:start w:w="100" w:type="dxa"/>
              <w:bottom w:w="80" w:type="dxa"/>
              <w:end w:w="100" w:type="dxa"/>
            </w:tcMar>
          </w:tcPr>
          <w:p>
            <w:pPr>
              <w:spacing w:after="0"/>
            </w:pPr>
            <w:r>
              <w:rPr>
                <w:color w:val="24343A"/>
                <w:sz w:val="18"/>
              </w:rPr>
              <w:t>77%</w:t>
            </w:r>
          </w:p>
        </w:tc>
        <w:tc>
          <w:tcPr>
            <w:tcW w:type="dxa" w:w="3456"/>
            <w:vAlign w:val="center"/>
            <w:tcMar>
              <w:top w:w="80" w:type="dxa"/>
              <w:start w:w="100" w:type="dxa"/>
              <w:bottom w:w="80" w:type="dxa"/>
              <w:end w:w="100" w:type="dxa"/>
            </w:tcMar>
          </w:tcPr>
          <w:p>
            <w:pPr>
              <w:spacing w:after="0"/>
            </w:pPr>
            <w:r>
              <w:rPr>
                <w:color w:val="24343A"/>
                <w:sz w:val="18"/>
              </w:rPr>
              <w:t>Shipping-mode comparison</w:t>
            </w:r>
          </w:p>
        </w:tc>
      </w:tr>
      <w:tr>
        <w:trPr>
          <w:cantSplit/>
        </w:trPr>
        <w:tc>
          <w:tcPr>
            <w:tcW w:type="dxa" w:w="3456"/>
            <w:vAlign w:val="center"/>
            <w:tcMar>
              <w:top w:w="80" w:type="dxa"/>
              <w:start w:w="100" w:type="dxa"/>
              <w:bottom w:w="80" w:type="dxa"/>
              <w:end w:w="100" w:type="dxa"/>
            </w:tcMar>
            <w:shd w:fill="EAF3F2"/>
          </w:tcPr>
          <w:p>
            <w:pPr>
              <w:spacing w:after="0"/>
            </w:pPr>
            <w:r>
              <w:rPr>
                <w:color w:val="24343A"/>
                <w:sz w:val="18"/>
              </w:rPr>
              <w:t>Same Day reported risk</w:t>
            </w:r>
          </w:p>
        </w:tc>
        <w:tc>
          <w:tcPr>
            <w:tcW w:type="dxa" w:w="2160"/>
            <w:vAlign w:val="center"/>
            <w:tcMar>
              <w:top w:w="80" w:type="dxa"/>
              <w:start w:w="100" w:type="dxa"/>
              <w:bottom w:w="80" w:type="dxa"/>
              <w:end w:w="100" w:type="dxa"/>
            </w:tcMar>
            <w:shd w:fill="EAF3F2"/>
          </w:tcPr>
          <w:p>
            <w:pPr>
              <w:spacing w:after="0"/>
            </w:pPr>
            <w:r>
              <w:rPr>
                <w:color w:val="24343A"/>
                <w:sz w:val="18"/>
              </w:rPr>
              <w:t>46%</w:t>
            </w:r>
          </w:p>
        </w:tc>
        <w:tc>
          <w:tcPr>
            <w:tcW w:type="dxa" w:w="3456"/>
            <w:vAlign w:val="center"/>
            <w:tcMar>
              <w:top w:w="80" w:type="dxa"/>
              <w:start w:w="100" w:type="dxa"/>
              <w:bottom w:w="80" w:type="dxa"/>
              <w:end w:w="100" w:type="dxa"/>
            </w:tcMar>
            <w:shd w:fill="EAF3F2"/>
          </w:tcPr>
          <w:p>
            <w:pPr>
              <w:spacing w:after="0"/>
            </w:pPr>
            <w:r>
              <w:rPr>
                <w:color w:val="24343A"/>
                <w:sz w:val="18"/>
              </w:rPr>
              <w:t>Shipping-mode comparison</w:t>
            </w:r>
          </w:p>
        </w:tc>
      </w:tr>
      <w:tr>
        <w:trPr>
          <w:cantSplit/>
        </w:trPr>
        <w:tc>
          <w:tcPr>
            <w:tcW w:type="dxa" w:w="3456"/>
            <w:vAlign w:val="center"/>
            <w:tcMar>
              <w:top w:w="80" w:type="dxa"/>
              <w:start w:w="100" w:type="dxa"/>
              <w:bottom w:w="80" w:type="dxa"/>
              <w:end w:w="100" w:type="dxa"/>
            </w:tcMar>
          </w:tcPr>
          <w:p>
            <w:pPr>
              <w:spacing w:after="0"/>
            </w:pPr>
            <w:r>
              <w:rPr>
                <w:color w:val="24343A"/>
                <w:sz w:val="18"/>
              </w:rPr>
              <w:t>Standard Class reported risk</w:t>
            </w:r>
          </w:p>
        </w:tc>
        <w:tc>
          <w:tcPr>
            <w:tcW w:type="dxa" w:w="2160"/>
            <w:vAlign w:val="center"/>
            <w:tcMar>
              <w:top w:w="80" w:type="dxa"/>
              <w:start w:w="100" w:type="dxa"/>
              <w:bottom w:w="80" w:type="dxa"/>
              <w:end w:w="100" w:type="dxa"/>
            </w:tcMar>
          </w:tcPr>
          <w:p>
            <w:pPr>
              <w:spacing w:after="0"/>
            </w:pPr>
            <w:r>
              <w:rPr>
                <w:color w:val="24343A"/>
                <w:sz w:val="18"/>
              </w:rPr>
              <w:t>38%</w:t>
            </w:r>
          </w:p>
        </w:tc>
        <w:tc>
          <w:tcPr>
            <w:tcW w:type="dxa" w:w="3456"/>
            <w:vAlign w:val="center"/>
            <w:tcMar>
              <w:top w:w="80" w:type="dxa"/>
              <w:start w:w="100" w:type="dxa"/>
              <w:bottom w:w="80" w:type="dxa"/>
              <w:end w:w="100" w:type="dxa"/>
            </w:tcMar>
          </w:tcPr>
          <w:p>
            <w:pPr>
              <w:spacing w:after="0"/>
            </w:pPr>
            <w:r>
              <w:rPr>
                <w:color w:val="24343A"/>
                <w:sz w:val="18"/>
              </w:rPr>
              <w:t>Shipping-mode comparison</w:t>
            </w:r>
          </w:p>
        </w:tc>
      </w:tr>
    </w:tbl>
    <w:p>
      <w:pPr>
        <w:spacing w:after="20"/>
      </w:pPr>
    </w:p>
    <w:p>
      <w:r>
        <w:t>Each KPI should be documented with its formula, denominator, unit, and unit of analysis. Record-level measures should be supplemented with order-level measures where multiple records belong to an order.</w:t>
      </w:r>
    </w:p>
    <w:p>
      <w:pPr>
        <w:pStyle w:val="Heading1"/>
      </w:pPr>
      <w:r>
        <w:t>9. Overall Findings and Recommendations</w:t>
      </w:r>
    </w:p>
    <w:p>
      <w:pPr>
        <w:pStyle w:val="Heading2"/>
      </w:pPr>
      <w:r>
        <w:t>9.1 Findings</w:t>
      </w:r>
    </w:p>
    <w:p>
      <w:r>
        <w:t>Late delivery accounts for 54.83% of reported records and is the largest status category. Actual shipping averages 3.50 days, with a median of 3 days; the scheduled-shipping median is 4 days. Supplied shipping-mode risk percentages vary, and reported correlations offer leads for investigation rather than evidence of cause and effect.</w:t>
      </w:r>
    </w:p>
    <w:p>
      <w:pPr>
        <w:pStyle w:val="Heading2"/>
      </w:pPr>
      <w:r>
        <w:t>9.2 Recommendations</w:t>
      </w:r>
    </w:p>
    <w:p>
      <w:pPr>
        <w:pStyle w:val="ListBullet"/>
      </w:pPr>
      <w:r>
        <w:t>Validate the shipping-mode risk calculation, denominator, and order mix against the analysis notebook.</w:t>
      </w:r>
    </w:p>
    <w:p>
      <w:pPr>
        <w:pStyle w:val="ListBullet"/>
      </w:pPr>
      <w:r>
        <w:t>Compare actual and scheduled duration at the same record or order level using clearly defined metrics.</w:t>
      </w:r>
    </w:p>
    <w:p>
      <w:pPr>
        <w:pStyle w:val="ListBullet"/>
      </w:pPr>
      <w:r>
        <w:t>Investigate late-delivery records by destination, order characteristics, and product category where fields are suitable.</w:t>
      </w:r>
    </w:p>
    <w:p>
      <w:pPr>
        <w:pStyle w:val="ListBullet"/>
      </w:pPr>
      <w:r>
        <w:t>For pre-delivery prediction, exclude fields that reveal completed outcomes, including final delivery status and actual shipping duration.</w:t>
      </w:r>
    </w:p>
    <w:p>
      <w:pPr>
        <w:pStyle w:val="ListBullet"/>
      </w:pPr>
      <w:r>
        <w:t>Use order-aware train/test splitting and fit preprocessing steps on training data only.</w:t>
      </w:r>
    </w:p>
    <w:p>
      <w:pPr>
        <w:pStyle w:val="ListBullet"/>
      </w:pPr>
      <w:r>
        <w:t>Retain record-level and order-level KPIs separately when multiple item rows belong to one order.</w:t>
      </w:r>
    </w:p>
    <w:p>
      <w:pPr>
        <w:pStyle w:val="Heading1"/>
      </w:pPr>
      <w:r>
        <w:t>10. Limitations</w:t>
      </w:r>
    </w:p>
    <w:p>
      <w:pPr>
        <w:pStyle w:val="ListNumber"/>
      </w:pPr>
      <w:r>
        <w:t>The supplied results are summary values and were not recalculated from the cleaned CSV during report preparation.</w:t>
      </w:r>
    </w:p>
    <w:p>
      <w:pPr>
        <w:pStyle w:val="ListNumber"/>
      </w:pPr>
      <w:r>
        <w:t>Records may represent line items rather than unique orders.</w:t>
      </w:r>
    </w:p>
    <w:p>
      <w:pPr>
        <w:pStyle w:val="ListNumber"/>
      </w:pPr>
      <w:r>
        <w:t>The risk-by-shipping-mode formula and denominator require confirmation.</w:t>
      </w:r>
    </w:p>
    <w:p>
      <w:pPr>
        <w:pStyle w:val="ListNumber"/>
      </w:pPr>
      <w:r>
        <w:t>Correlation does not imply causation and may reflect variable construction.</w:t>
      </w:r>
    </w:p>
    <w:p>
      <w:pPr>
        <w:pStyle w:val="ListNumber"/>
      </w:pPr>
      <w:r>
        <w:t>Missing values reported in Week 2 should be checked again in the final working file.</w:t>
      </w:r>
    </w:p>
    <w:p>
      <w:pPr>
        <w:pStyle w:val="ListNumber"/>
      </w:pPr>
      <w:r>
        <w:t>Historical patterns may not generalize to future operations.</w:t>
      </w:r>
    </w:p>
    <w:p>
      <w:pPr>
        <w:pStyle w:val="ListNumber"/>
      </w:pPr>
      <w:r>
        <w:t>The original heatmap reports a Sales–Order Profit Per Order correlation of 0.13.</w:t>
      </w:r>
    </w:p>
    <w:p>
      <w:pPr>
        <w:pStyle w:val="Heading1"/>
      </w:pPr>
      <w:r>
        <w:t>11. Conclusion and Week 4 Next Steps</w:t>
      </w:r>
    </w:p>
    <w:p>
      <w:r>
        <w:t>Week 3 establishes a descriptive baseline for delivery status, shipping duration, reported shipping-mode risk, and selected correlations. Late delivery is prominent in the supplied record-level results, while the duration summaries and cross-mode percentages identify questions for validation. The findings should be verified against the cleaned dataset and the metric definitions documented before operational use.</w:t>
      </w:r>
    </w:p>
    <w:p>
      <w:r>
        <w:t>Week 4 can build on this analysis by defining a prediction-time target, selecting only features available at that point, creating an order-aware data split, fitting a suitable model, and evaluating it with metrics appropriate to the class balance and business use case.</w:t>
      </w:r>
    </w:p>
    <w:p>
      <w:pPr>
        <w:pStyle w:val="Heading1"/>
      </w:pPr>
      <w:r>
        <w:t>12. Project References</w:t>
      </w:r>
    </w:p>
    <w:p>
      <w:r>
        <w:t>Dataset: DataCo Smart Supply Chain Dataset</w:t>
      </w:r>
    </w:p>
    <w:p>
      <w:r>
        <w:t>https://www.kaggle.com/datasets/jolenechen/datacosupplychaindataset</w:t>
      </w:r>
    </w:p>
    <w:p>
      <w:r>
        <w:t>Project GitHub Repository:</w:t>
      </w:r>
    </w:p>
    <w:p>
      <w:r>
        <w:t>https://github.com/guggilapu-venkata-ramana/Logistics-Delivery-Performance-Analysis</w:t>
      </w:r>
    </w:p>
    <w:p>
      <w:r>
        <w:t>Tools: Python, Pandas, Matplotlib, Exploratory Data Analysis, KPI Analysis, Data Visualization</w:t>
      </w:r>
    </w:p>
    <w:p>
      <w:pPr>
        <w:jc w:val="center"/>
      </w:pPr>
      <w:r>
        <w:rPr>
          <w:b/>
          <w:color w:val="C8794A"/>
          <w:sz w:val="18"/>
        </w:rPr>
        <w:t>END OF WEEK 3 INTERNSHIP PROJECT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86D"/>
        <w:sz w:val="16"/>
      </w:rPr>
      <w:t xml:space="preserve">Week 3 | Logistics Delivery Performance Analysis &amp; Late-Delivery Risk Prediction  •  Page </w:t>
    </w:r>
    <w:fldSimple w:instr="PAGE" w:dirty="true">
      <w:r>
        <w:rPr>
          <w:rFonts w:ascii="Aptos" w:hAnsi="Aptos"/>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434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4E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7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124E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Exploratory Data Analysis and KPI Findings</dc:title>
  <dc:subject>Logistics Delivery Performance Analysis and Late-Delivery Risk Prediction</dc:subject>
  <dc:creator>Guggilapu Venkata Ramana</dc:creator>
  <cp:keywords/>
  <dc:description>generated by python-docx</dc:description>
  <cp:lastModifiedBy/>
  <cp:revision>1</cp:revision>
  <dcterms:created xsi:type="dcterms:W3CDTF">2013-12-23T23:15:00Z</dcterms:created>
  <dcterms:modified xsi:type="dcterms:W3CDTF">2013-12-23T23:15:00Z</dcterms:modified>
  <cp:category/>
</cp:coreProperties>
</file>