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300" w:lineRule="auto"/>
        <w:jc w:val="center"/>
      </w:pPr>
      <w:r>
        <w:rPr>
          <w:rFonts w:ascii="맑은 고딕" w:hAnsi="맑은 고딕" w:eastAsia="맑은 고딕"/>
          <w:b/>
          <w:sz w:val="32"/>
        </w:rPr>
        <w:t>AI 핵심기술 종속성 위험도 해소방안 검토</w:t>
      </w:r>
    </w:p>
    <w:p>
      <w:pPr>
        <w:spacing w:before="80" w:after="160" w:line="300" w:lineRule="auto"/>
      </w:pPr>
      <w:r>
        <w:rPr>
          <w:rFonts w:ascii="맑은 고딕" w:hAnsi="맑은 고딕" w:eastAsia="맑은 고딕"/>
          <w:b/>
          <w:sz w:val="26"/>
        </w:rPr>
        <w:t>□ 현황 및 문제점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/>
          <w:sz w:val="22"/>
        </w:rPr>
        <w:t xml:space="preserve">○ (핵심기술) </w:t>
      </w:r>
      <w:r>
        <w:rPr>
          <w:rFonts w:ascii="맑은 고딕" w:hAnsi="맑은 고딕" w:eastAsia="맑은 고딕"/>
          <w:b w:val="0"/>
          <w:sz w:val="22"/>
        </w:rPr>
        <w:t>시스템 플랫폼의 핵심기술인 LLM*·RAG*·벡터DB·지식그래프는 기술 종속성 위험도가 높은 것으로 평가됨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18"/>
        </w:rPr>
        <w:t>* LLM(Large Language Model) : 대규모 언어모델 / RAG(Retrieval-Augmented Generation) : 검색증강생성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※ 별도 제출문서 : 기술 분석서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/>
          <w:sz w:val="22"/>
        </w:rPr>
        <w:t xml:space="preserve">○ (LLM 종속성) </w:t>
      </w:r>
      <w:r>
        <w:rPr>
          <w:rFonts w:ascii="맑은 고딕" w:hAnsi="맑은 고딕" w:eastAsia="맑은 고딕"/>
          <w:b w:val="0"/>
          <w:sz w:val="22"/>
        </w:rPr>
        <w:t>특정 기업의 상용 모델 서비스 정책 변화에 따라 응용서비스 운영이 영향을 받는 종속성 존재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/>
          <w:sz w:val="22"/>
        </w:rPr>
        <w:t xml:space="preserve">○ (RAG 종속성) </w:t>
      </w:r>
      <w:r>
        <w:rPr>
          <w:rFonts w:ascii="맑은 고딕" w:hAnsi="맑은 고딕" w:eastAsia="맑은 고딕"/>
          <w:b w:val="0"/>
          <w:sz w:val="22"/>
        </w:rPr>
        <w:t>데이터를 수치화한 임베딩* 모델 변경 시, 기존 벡터 DB의 데이터를 다시 변환해야 하는 구조적 종속성 존재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18"/>
        </w:rPr>
        <w:t>* Embedding : 텍스트·문서를 벡터(수치)로 변환하는 모델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→ 임베딩 교체 시 원문 재수집·재정제부터 재수행하거나, 인덱싱 기간 중 검색서비스 중단이 불가피하여 가용성 저하 위험 [참고1]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/>
          <w:sz w:val="22"/>
        </w:rPr>
        <w:t xml:space="preserve">○ (벡터DB 종속성) </w:t>
      </w:r>
      <w:r>
        <w:rPr>
          <w:rFonts w:ascii="맑은 고딕" w:hAnsi="맑은 고딕" w:eastAsia="맑은 고딕"/>
          <w:b w:val="0"/>
          <w:sz w:val="22"/>
        </w:rPr>
        <w:t>제품별 전용 색인·저장 규격과 전용 검색 API에 묶이면, 벡터DB* 교체 시 인덱스 재구축과 응용코드 수정이 동시에 발생하는 종속성 존재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18"/>
        </w:rPr>
        <w:t>* 벡터DB : 문서를 수치(벡터)로 저장하고, 의미가 비슷한 문서를 빠르게 찾는 데이터베이스</w:t>
      </w:r>
    </w:p>
    <w:p>
      <w:pPr>
        <w:spacing w:before="0" w:after="240" w:line="300" w:lineRule="auto"/>
      </w:pPr>
      <w:r>
        <w:rPr>
          <w:rFonts w:ascii="맑은 고딕" w:hAnsi="맑은 고딕" w:eastAsia="맑은 고딕"/>
          <w:b w:val="0"/>
          <w:sz w:val="20"/>
        </w:rPr>
        <w:t>→ 전용 인덱스 형식·검색 문법·차원(Dimension)·거리함수가 제품마다 달라 이식 장벽이 높고, 전환기간 중 유사검색 서비스 중단 위험 [참고1]</w:t>
      </w:r>
    </w:p>
    <w:p>
      <w:pPr>
        <w:spacing w:before="80" w:after="160" w:line="300" w:lineRule="auto"/>
      </w:pPr>
      <w:r>
        <w:rPr>
          <w:rFonts w:ascii="맑은 고딕" w:hAnsi="맑은 고딕" w:eastAsia="맑은 고딕"/>
          <w:b/>
          <w:sz w:val="26"/>
        </w:rPr>
        <w:t>□ 종속성 위험도 해소방안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/>
          <w:sz w:val="22"/>
        </w:rPr>
        <w:t xml:space="preserve">○ (LLM 해소방안) </w:t>
      </w:r>
      <w:r>
        <w:rPr>
          <w:rFonts w:ascii="맑은 고딕" w:hAnsi="맑은 고딕" w:eastAsia="맑은 고딕"/>
          <w:b w:val="0"/>
          <w:sz w:val="22"/>
        </w:rPr>
        <w:t>엔티스 응용프로그램과 LLM 추론 엔진 사이에 독립적인 추상화 중계 레이어(Model-Agnostic Orchestration Layer)*를 구축하여 비종속 아키텍처 모델 도입 [참고1]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 w:val="0"/>
          <w:sz w:val="18"/>
        </w:rPr>
        <w:t>* Model-Agnostic Orchestration Layer : 응용과 실제 LLM을 분리하고, 표준 API로 모델을 중계·교체하는 계층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(표준 API 규격 통합) vLLM 및 TensorRT-LLM 오픈소스 분산 추론 엔진을 기반으로, 내부 구동 LLM의 입·출력 규격을 OpenAI API 호환 포맷으로 100% 일체화</w:t>
      </w:r>
    </w:p>
    <w:p>
      <w:pPr>
        <w:spacing w:before="0" w:after="160" w:line="300" w:lineRule="auto"/>
      </w:pPr>
      <w:r>
        <w:rPr>
          <w:rFonts w:ascii="맑은 고딕" w:hAnsi="맑은 고딕" w:eastAsia="맑은 고딕"/>
          <w:b w:val="0"/>
          <w:sz w:val="20"/>
        </w:rPr>
        <w:t>- (모델 스와핑) 국산 특화 LLM(Solar, EXAONE 등) 또는 개방형 초거대 모델(Llama 3.1 70B 등)로 교체 시, 애플리케이션 소스코드 수정 없이 YAML 설정 변경만으로 즉시 교체 가능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 xml:space="preserve">○ (RAG 해소방안) </w:t>
      </w:r>
      <w:r>
        <w:rPr>
          <w:rFonts w:ascii="맑은 고딕" w:hAnsi="맑은 고딕" w:eastAsia="맑은 고딕"/>
          <w:b w:val="0"/>
          <w:sz w:val="22"/>
        </w:rPr>
        <w:t>임베딩 모델 변경에 따른 벡터 DB 전량 재가공 종속성을 해소하기 위해 모듈형 데이터 파이프라인 구축 [참고1]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(컴포넌트화) AI 어시스턴트를 레고 블록형 컴포넌트로 개발하여 임베딩 엔진·벡터DB만 별도 업그레이드·교체 가능하도록 구현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(계층 분리) 파운데이션 계층(모델)과 인텔리전스 계층(데이터/RAG)을 분리하고, LangChain·LlamaIndex 등 오케스트레이션 프레임워크를 미들웨어로 적용하여 결합도 저하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(하이브리드 처리) 단순 질의는 경량 모델·CPU 서버, 복잡 추론은 고성능 모델·GPU 인프라로 분산 처리하여 특정 자원·기술 의존도 분산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→ 표준 API 및 MCP* 프로토콜 도입으로 해당 모듈만 교체하여 서비스 지속 가능한 기반 마련</w:t>
      </w:r>
    </w:p>
    <w:p>
      <w:pPr>
        <w:spacing w:before="0" w:after="160" w:line="300" w:lineRule="auto"/>
      </w:pPr>
      <w:r>
        <w:rPr>
          <w:rFonts w:ascii="맑은 고딕" w:hAnsi="맑은 고딕" w:eastAsia="맑은 고딕"/>
          <w:b w:val="0"/>
          <w:sz w:val="18"/>
        </w:rPr>
        <w:t>* MCP(Model Context Protocol) : AI 모델과 외부 도구·데이터 소스를 표준 방식으로 연결하는 프로토콜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 xml:space="preserve">○ (벡터DB 해소방안) </w:t>
      </w:r>
      <w:r>
        <w:rPr>
          <w:rFonts w:ascii="맑은 고딕" w:hAnsi="맑은 고딕" w:eastAsia="맑은 고딕"/>
          <w:b w:val="0"/>
          <w:sz w:val="22"/>
        </w:rPr>
        <w:t>전용 색인·저장 규격 종속을 해소하기 위해 검색 인터페이스 표준화와 오픈소스 대체 경로(PostgreSQL·pgvector 등)를 병행 확보 [참고1]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(검색 API 표준화) 응용은 표준 검색(Retriever) 규격만 호출하고, 하위 벡터DB 제품은 YAML 설정으로 교체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(저장 계층 분리) 원문·정제데이터는 데이터레이크에 보존하고, 벡터 인덱스는 언제든 다시 만들 수 있는 파생 산출물로 관리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(무중단 전환) 신·구 벡터DB에 이중 적재 후 검색 품질 검증을 거쳐 동적 스위칭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→ PostgreSQL(pgvector)*를 기본 전환 경로로 두고, 대규모 검색이 필요하면 전용 벡터DB를 선택적으로 연결</w:t>
      </w:r>
    </w:p>
    <w:p>
      <w:pPr>
        <w:spacing w:before="0" w:after="160" w:line="300" w:lineRule="auto"/>
      </w:pPr>
      <w:r>
        <w:rPr>
          <w:rFonts w:ascii="맑은 고딕" w:hAnsi="맑은 고딕" w:eastAsia="맑은 고딕"/>
          <w:b w:val="0"/>
          <w:sz w:val="18"/>
        </w:rPr>
        <w:t>* pgvector : PostgreSQL에서 벡터 유사검색을 지원하는 오픈소스 확장 기능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 xml:space="preserve">○ (구성계획) </w:t>
      </w:r>
      <w:r>
        <w:rPr>
          <w:rFonts w:ascii="맑은 고딕" w:hAnsi="맑은 고딕" w:eastAsia="맑은 고딕"/>
          <w:b w:val="0"/>
          <w:sz w:val="22"/>
        </w:rPr>
        <w:t>비종속 아키텍처를 3계층으로 구성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① 엔티스 응용프로그램 계층(Client Layer) : 홈택스·손택스·엔티스 포털·AI 에이전트 등 → 단일 표준 엔드포인트로 호출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② 추상화 중계 레이어 : 모델 가상화, 지능형 라우팅·Failover, 보안 가드레일, 시맨틱 캐싱 적용</w:t>
      </w:r>
    </w:p>
    <w:p>
      <w:pPr>
        <w:spacing w:before="0" w:after="240" w:line="300" w:lineRule="auto"/>
      </w:pPr>
      <w:r>
        <w:rPr>
          <w:rFonts w:ascii="맑은 고딕" w:hAnsi="맑은 고딕" w:eastAsia="맑은 고딕"/>
          <w:b w:val="0"/>
          <w:sz w:val="20"/>
        </w:rPr>
        <w:t>- ③ 표준 추론·검색 엔진 계층 : vLLM·TensorRT-LLM 기반 OpenAI 호환 서빙 + 모듈형 RAG + 표준 검색 API 기반 벡터DB</w:t>
      </w:r>
    </w:p>
    <w:p>
      <w:pPr>
        <w:spacing w:before="80" w:after="160" w:line="300" w:lineRule="auto"/>
      </w:pPr>
      <w:r>
        <w:rPr>
          <w:rFonts w:ascii="맑은 고딕" w:hAnsi="맑은 고딕" w:eastAsia="맑은 고딕"/>
          <w:b/>
          <w:sz w:val="26"/>
        </w:rPr>
        <w:t>□ AI 핵심기술 비종속 아키텍처 개념도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>○ AS-IS (종속 구조)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[홈택스·엔티스·AI 에이전트] → [특정 상용 LLM 직접 연동] → [임베딩 모델 ↔ 특정 전용 벡터DB 강결합]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모델·임베딩·벡터DB 교체 시 응용코드 수정 및 인덱스 전량 재구축 필요</w:t>
      </w:r>
    </w:p>
    <w:p>
      <w:pPr>
        <w:spacing w:before="0" w:after="160" w:line="300" w:lineRule="auto"/>
      </w:pPr>
      <w:r>
        <w:rPr>
          <w:rFonts w:ascii="맑은 고딕" w:hAnsi="맑은 고딕" w:eastAsia="맑은 고딕"/>
          <w:b w:val="0"/>
          <w:sz w:val="20"/>
        </w:rPr>
        <w:t>- 전환기간 중 검색·추론 서비스 중단 위험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>○ TO-BE (비종속 구조)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[홈택스·엔티스·AI 에이전트] → [추상화 중계 레이어(표준 API·표준 검색)] → [vLLM / 모듈형 RAG / 벡터 저장 추상화] → [온프레미스 LLM / pgvector 또는 전용 벡터DB]</w:t>
      </w:r>
    </w:p>
    <w:p>
      <w:pPr>
        <w:spacing w:before="0" w:after="20" w:line="300" w:lineRule="auto"/>
      </w:pPr>
      <w:r>
        <w:rPr>
          <w:rFonts w:ascii="맑은 고딕" w:hAnsi="맑은 고딕" w:eastAsia="맑은 고딕"/>
          <w:b w:val="0"/>
          <w:sz w:val="20"/>
        </w:rPr>
        <w:t>- YAML 설정만으로 LLM·벡터DB 교체(소스코드 무수정)</w:t>
      </w:r>
    </w:p>
    <w:p>
      <w:pPr>
        <w:spacing w:before="0" w:after="280" w:line="300" w:lineRule="auto"/>
      </w:pPr>
      <w:r>
        <w:rPr>
          <w:rFonts w:ascii="맑은 고딕" w:hAnsi="맑은 고딕" w:eastAsia="맑은 고딕"/>
          <w:b w:val="0"/>
          <w:sz w:val="20"/>
        </w:rPr>
        <w:t>- Raw·Refined Zone 보존으로 재임베딩·재색인만 수행, 신·구 인덱스 병행 후 무중단 전환</w:t>
      </w:r>
    </w:p>
    <w:p>
      <w:pPr>
        <w:spacing w:before="160" w:after="200" w:line="300" w:lineRule="auto"/>
        <w:jc w:val="center"/>
      </w:pPr>
      <w:r>
        <w:rPr>
          <w:rFonts w:ascii="맑은 고딕" w:hAnsi="맑은 고딕" w:eastAsia="맑은 고딕"/>
          <w:b/>
          <w:sz w:val="28"/>
        </w:rPr>
        <w:t>참고1  AI 핵심기술 종속성 위험도 해소 검토서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/>
          <w:sz w:val="24"/>
        </w:rPr>
        <w:t>□ LLM 종속성 위험도 해소 방안(비종속 아키텍처 모델 도입)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○ 엔티스 응용프로그램과 LLM 추론 엔진 사이에 독립적인 추상화 중계 레이어를 구축함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>① 엔티스 응용프로그램 계층 (Client Layer)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홈택스, 손택스, 엔티스 포털, AI 에이전트 등 모든 업무 시스템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- (단일화된 호출 방식) 하위 모델 종류·GPU 위치와 무관하게 단 하나의 표준 엔드포인트로 서비스 요청 전송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>② 추상화 중계 레이어 (Model-Agnostic Orchestration Layer)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- 국세 각종 응용프로그램과 실제 추론 서버 사이에 위치하는 지능형 AI 게이트웨이(Gateway)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주요 기능</w:t>
            </w:r>
          </w:p>
        </w:tc>
        <w:tc>
          <w:tcPr>
            <w:tcW w:type="dxa" w:w="4873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기술적 구현 내용 및 효과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모델 가상화 (Virtualization)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엔티스는 가상 모델명으로 요청하고, 중계 레이어가 실시간 GPU 상황에 맞춰 vLLM-Exaone-32B, TRT-LLM-Solar-10.8B, Llama 3.1 등으로 물리 매핑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지능형 라우팅 &amp; Failover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특정 GPU 인스턴스 장애 시, 동일 기능 대체 모델 인스턴스로 트래픽 자동 우회(Zero-downtime)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보안 가드레일 (Guardrails)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주민등록번호·계좌번호 등 민감정보(PII) 마스킹 및 국세행정 정책 위반 질의 사전 차단 필터 일괄 적용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시맨틱 캐싱 (Semantic Cache)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종합소득세 신고기간 등 피크 시기, 동일·유사 질의는 Redis 캐시에서 밀리초 단위 응답 → GPU 부하 대폭 절감</w:t>
            </w:r>
          </w:p>
        </w:tc>
      </w:tr>
    </w:tbl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>③ 표준 API 규격 통합 (vLLM &amp; TensorRT-LLM)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vLLM과 TensorRT-LLM은 오픈소스 진영 및 엔비디아의 산업 표준(De-facto Standard) 고성능 분산 추론 엔진으로, 두 엔진 모두 OpenAI API Specification을 내장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- (100% 규격 일체화의 의미) EXAONE 기반 32B를 vLLM으로 서빙하든, Llama 기반 70B를 TensorRT-LLM으로 서빙하든, 클라이언트가 수신하는 JSON 데이터 구조가 동일함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vLLM (Virtual LLM)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TRT-LLM (TensorRT-LLM)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개발 주체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오픈소스 커뮤니티(UC 버클리 중심)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NVIDIA(엔비디아 공식)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최대 장점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사용이 쉽고, 다양한 모델을 즉시 지원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엔비디아 GPU 하드웨어 성능을 한계까지 활용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사용 환경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일반 테스트, 빠른 프로토타입 서빙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엔터프라이즈급 대규모 서비스, 고속 추론 환경</w:t>
            </w:r>
          </w:p>
        </w:tc>
      </w:tr>
    </w:tbl>
    <w:p>
      <w:pPr>
        <w:spacing w:before="0" w:after="160" w:line="300" w:lineRule="auto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/>
          <w:sz w:val="24"/>
        </w:rPr>
        <w:t>□ RAG 종속성 해소 방안(모듈형 데이터 파이프라인 구축)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○ 임베딩 모델 변경에 따라 기존 벡터 DB 데이터를 모두 재가공해야 하는 구조적 종속성 해결을 위해 모듈형 데이터 파이프라인 구축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>① 레고 블록 형태의 컴포넌트 개발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 w:val="0"/>
          <w:sz w:val="20"/>
        </w:rPr>
        <w:t>- AI 어시스턴트를 컴포넌트 방식으로 개발하여 특정 임베딩 엔진이나 벡터DB만 별도 업그레이드·교체 가능하도록 구현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원천데이터 → 파싱 → 분류 → 청킹 → 임베딩 → 인덱스 적재(벡터DB)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18"/>
        </w:rPr>
        <w:t>※ 파싱·분류·청킹 : 임베딩 모델 교체 시 100% 재사용 / 임베딩·인덱스 : 재생성 대상 단계만 수행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>② 데이터 관리 계층의 분리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- 파운데이션 계층(모델)과 인텔리전스 계층(데이터/RAG)을 분리하고, LangChain·LlamaIndex 등 오케스트레이션 프레임워크를 미들웨어로 사용하여 데이터 소스와 AI 모델 간 결합도 낮춤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>③ 하이브리드 아키텍처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단순·정형 질의 → 경량 모델(8B급) + CPU 서버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복잡·심층 추론 → 고성능 모델(70B급) + GPU 인프라</w:t>
      </w:r>
    </w:p>
    <w:p>
      <w:pPr>
        <w:spacing w:before="0" w:after="200" w:line="300" w:lineRule="auto"/>
      </w:pPr>
      <w:r>
        <w:rPr>
          <w:rFonts w:ascii="맑은 고딕" w:hAnsi="맑은 고딕" w:eastAsia="맑은 고딕"/>
          <w:b w:val="0"/>
          <w:sz w:val="20"/>
        </w:rPr>
        <w:t>- 표준 API 및 MCP 프로토콜 도입으로 해당 모듈만 교체하여 서비스 지속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/>
          <w:sz w:val="24"/>
        </w:rPr>
        <w:t>□ 벡터DB 종속성 해소 방안(검색 인터페이스 표준화·오픈소스 대체 경로)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○ 제품별 전용 색인·저장 규격과 전용 검색 API에 묶이는 종속성을 해소하기 위해, 응용과 벡터DB 사이에 표준 검색 계층을 두고 오픈소스 전환 경로를 확보함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>① 검색 인터페이스 표준화 (Retriever Abstraction)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홈택스·손택스·엔티스 포털·AI 에이전트는 하위 벡터DB가 어떤 제품인지 알 필요 없이, 단 하나의 표준 검색 API만 호출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- (설정 기반 교체) Milvus, Weaviate, Elasticsearch k-NN, PostgreSQL(pgvector) 등 어떠한 저장소로 바꿔도 애플리케이션 소스코드 수정 없이 YAML 설정만으로 교체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>② 원문 보존과 인덱스 파생의 분리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원문·메타데이터(Raw Zone)와 정제데이터(Refined Zone)는 데이터레이크에 보존하고, 벡터 인덱스는 파생 산출물로만 관리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- 벡터DB 제품 교체 시 원문 재수집 없이 재색인(Re-index)만 수행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>③ 이중 적재 및 무중단 전환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전환기간 중 신·구 벡터DB에 동일 데이터를 병행 적재하고, 검색 품질을 A/B 비교한 뒤 동적 스위칭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- 전환이 끝나면 구 인덱스를 정리하여 저장 비용을 회수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>④ 오픈소스 대체 경로 확보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- 공공에서 운영 경험이 축적된 PostgreSQL에 pgvector를 결합해, 전용 벡터DB 없이도 유사검색이 가능한 기본 경로를 확보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- 초대규모·초저지연 검색이 필요한 업무만 전용 벡터DB를 선택 연결하여, 성능 요구와 기술독립성을 함께 충족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전용 벡터DB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PostgreSQL(pgvector)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저장 규격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제품별 전용 인덱스·컬렉션 형식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표준 SQL + 벡터 확장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최대 장점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대규모 유사검색 성능·전용 운영기능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이식성 높음, 기관 DBMS 운영체계 활용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종속 위험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전용 API·저장형식에 묶일 우려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오픈소스 표준 확장으로 전환 장벽이 낮음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사용 환경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초대규모 벡터 검색, 전용 클러스터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표준 DBMS 기반 독립성 확보, 일반 행정 검색</w:t>
            </w:r>
          </w:p>
        </w:tc>
      </w:tr>
    </w:tbl>
    <w:p>
      <w:pPr>
        <w:spacing w:before="0" w:after="160" w:line="300" w:lineRule="auto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/>
          <w:sz w:val="24"/>
        </w:rPr>
        <w:t>□ 모델 중립 데이터 관리 설계의 장점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위험 요소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기존 방식 문제점</w:t>
            </w:r>
          </w:p>
        </w:tc>
        <w:tc>
          <w:tcPr>
            <w:tcW w:type="dxa" w:w="3249"/>
            <w:shd w:fill="D9E2F3" w:val="clear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모델 중립 구조 설계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원문 재수집·재정제 위험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임베딩·벡터DB 교체 시 초기 파싱·전처리 과정 전반을 처음부터 재수행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데이터레이크 내 Raw Zone(원문·메타데이터) 및 Refined Zone(정제데이터) 완벽 보존 → 원문 재수집 없이 재임베딩·재색인만 수행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전처리 파이프라인 갱신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전처리·파싱 코드를 다시 프로그래밍해야 하는 오버헤드 발생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파싱·분류·청킹 독립 단계를 모듈로 완전 분리하여 기존 정제 산출물 전량 재활용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벡터DB 저장규격 종속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전용 인덱스 형식·검색 API에 묶여 제품 교체 시 응용코드까지 수정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표준 검색(Retriever) API로 응용과 저장소를 분리 → YAML 설정만으로 벡터DB 교체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전환기간 중 가용성 중단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인덱싱 새로 생성하는 동안 검색서비스 정지 불가피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신·구 인덱스를 가상 공간상에 병행 구동 → A/B 품질 검증 완료 후 동적 무중단 스위칭</w:t>
            </w:r>
          </w:p>
        </w:tc>
      </w:tr>
    </w:tbl>
    <w:p>
      <w:pPr>
        <w:spacing w:before="0" w:after="160" w:line="300" w:lineRule="auto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/>
          <w:sz w:val="24"/>
        </w:rPr>
        <w:t>□ 임베딩 모델·벡터DB 무중단 전환 절차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① 신규 임베딩 모델 또는 벡터DB 제품 선정·평가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② GPU 유휴 시간대 배치 재임베딩(모델 교체 시) 또는 대상 저장소 재색인(벡터DB 교체 시)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③ 신·구 인덱스를 표준 검색 API 하에서 병행 구동</w:t>
      </w:r>
    </w:p>
    <w:p>
      <w:pPr>
        <w:spacing w:before="0" w:after="40" w:line="300" w:lineRule="auto"/>
      </w:pPr>
      <w:r>
        <w:rPr>
          <w:rFonts w:ascii="맑은 고딕" w:hAnsi="맑은 고딕" w:eastAsia="맑은 고딕"/>
          <w:b w:val="0"/>
          <w:sz w:val="20"/>
        </w:rPr>
        <w:t>④ 검색 품질·응답시간 비교·검증</w:t>
      </w:r>
    </w:p>
    <w:p>
      <w:pPr>
        <w:spacing w:before="0" w:after="120" w:line="300" w:lineRule="auto"/>
      </w:pPr>
      <w:r>
        <w:rPr>
          <w:rFonts w:ascii="맑은 고딕" w:hAnsi="맑은 고딕" w:eastAsia="맑은 고딕"/>
          <w:b w:val="0"/>
          <w:sz w:val="20"/>
        </w:rPr>
        <w:t>⑤ 단계적 전환(구 인덱스·구 벡터DB 정리)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sz w:val="22"/>
        </w:rPr>
        <w:t>⇒ 전환 비용의 성격 : 시스템 재구축(×) → 배치 재처리 + 품질 검증(○)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