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300" w:lineRule="auto"/>
        <w:jc w:val="center"/>
      </w:pPr>
      <w:r>
        <w:rPr>
          <w:rFonts w:ascii="맑은 고딕" w:hAnsi="맑은 고딕" w:eastAsia="맑은 고딕"/>
          <w:b/>
          <w:sz w:val="32"/>
        </w:rPr>
        <w:t>AI 핵심기술 종속성 위험도 해소방안 검토</w:t>
      </w:r>
    </w:p>
    <w:p>
      <w:pPr>
        <w:spacing w:before="80" w:after="160" w:line="300" w:lineRule="auto"/>
      </w:pPr>
      <w:r>
        <w:rPr>
          <w:rFonts w:ascii="맑은 고딕" w:hAnsi="맑은 고딕" w:eastAsia="맑은 고딕"/>
          <w:b/>
          <w:sz w:val="26"/>
        </w:rPr>
        <w:t>□ 현황 및 문제점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2"/>
        </w:rPr>
        <w:t xml:space="preserve">○ (핵심기술) </w:t>
      </w:r>
      <w:r>
        <w:rPr>
          <w:rFonts w:ascii="맑은 고딕" w:hAnsi="맑은 고딕" w:eastAsia="맑은 고딕"/>
          <w:b w:val="0"/>
          <w:sz w:val="22"/>
        </w:rPr>
        <w:t>시스템 플랫폼의 핵심기술인 LLM*·RAG*·벡터DB·지식그래프는 기술 종속성 위험도가 높은 것으로 평가됨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18"/>
        </w:rPr>
        <w:t>* LLM(Large Language Model) : 대규모 언어모델 / RAG(Retrieval-Augmented Generation) : 검색증강생성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※ 별도 제출문서 : 기술 분석서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2"/>
        </w:rPr>
        <w:t xml:space="preserve">○ (LLM 종속성) </w:t>
      </w:r>
      <w:r>
        <w:rPr>
          <w:rFonts w:ascii="맑은 고딕" w:hAnsi="맑은 고딕" w:eastAsia="맑은 고딕"/>
          <w:b w:val="0"/>
          <w:sz w:val="22"/>
        </w:rPr>
        <w:t>특정 기업의 상용 모델 서비스 정책 변화에 따라 응용서비스 운영이 영향을 받는 종속성 존재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/>
          <w:sz w:val="22"/>
        </w:rPr>
        <w:t xml:space="preserve">○ (RAG 종속성) </w:t>
      </w:r>
      <w:r>
        <w:rPr>
          <w:rFonts w:ascii="맑은 고딕" w:hAnsi="맑은 고딕" w:eastAsia="맑은 고딕"/>
          <w:b w:val="0"/>
          <w:sz w:val="22"/>
        </w:rPr>
        <w:t>데이터를 수치화한 임베딩* 모델 변경 시, 기존 벡터 DB의 데이터를 다시 변환해야 하는 구조적 종속성 존재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18"/>
        </w:rPr>
        <w:t>* Embedding : 텍스트·문서를 벡터(수치)로 변환하는 모델</w:t>
      </w:r>
    </w:p>
    <w:p>
      <w:pPr>
        <w:spacing w:before="0" w:after="240" w:line="300" w:lineRule="auto"/>
      </w:pPr>
      <w:r>
        <w:rPr>
          <w:rFonts w:ascii="맑은 고딕" w:hAnsi="맑은 고딕" w:eastAsia="맑은 고딕"/>
          <w:b w:val="0"/>
          <w:sz w:val="20"/>
        </w:rPr>
        <w:t>→ 임베딩 교체 시 원문 재수집·재정제부터 재수행하거나, 인덱싱 기간 중 검색서비스 중단이 불가피하여 가용성 저하 위험 [참고1]</w:t>
      </w:r>
    </w:p>
    <w:p>
      <w:pPr>
        <w:spacing w:before="80" w:after="160" w:line="300" w:lineRule="auto"/>
      </w:pPr>
      <w:r>
        <w:rPr>
          <w:rFonts w:ascii="맑은 고딕" w:hAnsi="맑은 고딕" w:eastAsia="맑은 고딕"/>
          <w:b/>
          <w:sz w:val="26"/>
        </w:rPr>
        <w:t>□ 종속성 위험도 해소방안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/>
          <w:sz w:val="22"/>
        </w:rPr>
        <w:t xml:space="preserve">○ (LLM 해소방안) </w:t>
      </w:r>
      <w:r>
        <w:rPr>
          <w:rFonts w:ascii="맑은 고딕" w:hAnsi="맑은 고딕" w:eastAsia="맑은 고딕"/>
          <w:b w:val="0"/>
          <w:sz w:val="22"/>
        </w:rPr>
        <w:t>엔티스 응용프로그램과 LLM 추론 엔진 사이에 독립적인 추상화 중계 레이어(Model-Agnostic Orchestration Layer)*를 구축하여 비종속 아키텍처 모델 도입 [참고1]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18"/>
        </w:rPr>
        <w:t>* Model-Agnostic Orchestration Layer : 응용과 실제 LLM을 분리하고, 표준 API로 모델을 중계·교체하는 계층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(표준 API 규격 통합) vLLM 및 TensorRT-LLM 오픈소스 분산 추론 엔진을 기반으로, 내부 구동 LLM의 입·출력 규격을 OpenAI API 호환 포맷으로 100% 일체화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(모델 스와핑) 국산 특화 LLM(Solar, EXAONE 등) 또는 개방형 초거대 모델(Llama 3.1 70B 등)로 교체 시, 애플리케이션 소스코드 수정 없이 YAML 설정 변경만으로 즉시 교체 가능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 xml:space="preserve">○ (RAG 해소방안) </w:t>
      </w:r>
      <w:r>
        <w:rPr>
          <w:rFonts w:ascii="맑은 고딕" w:hAnsi="맑은 고딕" w:eastAsia="맑은 고딕"/>
          <w:b w:val="0"/>
          <w:sz w:val="22"/>
        </w:rPr>
        <w:t>임베딩 모델 변경에 따른 벡터 DB 전량 재가공 종속성을 해소하기 위해 모듈형 데이터 파이프라인 구축 [참고1]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(컴포넌트화) AI 어시스턴트를 레고 블록형 컴포넌트로 개발하여 임베딩 엔진·벡터DB만 별도 업그레이드·교체 가능하도록 구현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(계층 분리) 파운데이션 계층(모델)과 인텔리전스 계층(데이터/RAG)을 분리하고, LangChain·LlamaIndex 등 오케스트레이션 프레임워크를 미들웨어로 적용하여 결합도 저하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(하이브리드 처리) 단순 질의는 경량 모델·CPU 서버, 복잡 추론은 고성능 모델·GPU 인프라로 분산 처리하여 특정 자원·기술 의존도 분산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→ 표준 API 및 MCP* 프로토콜 도입으로 해당 모듈만 교체하여 서비스 지속 가능한 기반 마련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18"/>
        </w:rPr>
        <w:t>* MCP(Model Context Protocol) : AI 모델과 외부 도구·데이터 소스를 표준 방식으로 연결하는 프로토콜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 xml:space="preserve">○ (구성계획) </w:t>
      </w:r>
      <w:r>
        <w:rPr>
          <w:rFonts w:ascii="맑은 고딕" w:hAnsi="맑은 고딕" w:eastAsia="맑은 고딕"/>
          <w:b w:val="0"/>
          <w:sz w:val="22"/>
        </w:rPr>
        <w:t>비종속 아키텍처를 3계층으로 구성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① 엔티스 응용프로그램 계층(Client Layer) : 홈택스·손택스·엔티스 포털·AI 에이전트 등 → 단일 표준 엔드포인트로 호출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② 추상화 중계 레이어 : 모델 가상화, 지능형 라우팅·Failover, 보안 가드레일, 시맨틱 캐싱 적용</w:t>
      </w:r>
    </w:p>
    <w:p>
      <w:pPr>
        <w:spacing w:before="0" w:after="240" w:line="300" w:lineRule="auto"/>
      </w:pPr>
      <w:r>
        <w:rPr>
          <w:rFonts w:ascii="맑은 고딕" w:hAnsi="맑은 고딕" w:eastAsia="맑은 고딕"/>
          <w:b w:val="0"/>
          <w:sz w:val="20"/>
        </w:rPr>
        <w:t>- ③ 표준 추론 엔진 계층 : vLLM·TensorRT-LLM 기반 OpenAI 호환 서빙 + 모듈형 RAG 파이프라인</w:t>
      </w:r>
    </w:p>
    <w:p>
      <w:pPr>
        <w:spacing w:before="80" w:after="160" w:line="300" w:lineRule="auto"/>
      </w:pPr>
      <w:r>
        <w:rPr>
          <w:rFonts w:ascii="맑은 고딕" w:hAnsi="맑은 고딕" w:eastAsia="맑은 고딕"/>
          <w:b/>
          <w:sz w:val="26"/>
        </w:rPr>
        <w:t>□ AI 핵심기술 비종속 아키텍처 개념도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○ AS-IS (종속 구조)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[홈택스·엔티스·AI 에이전트] → [특정 상용 LLM 직접 연동] → [임베딩 모델 ↔ 벡터DB 강결합]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모델·임베딩 교체 시 응용코드 수정 및 벡터DB 전량 재변환 필요</w:t>
      </w:r>
    </w:p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20"/>
        </w:rPr>
        <w:t>- 전환기간 중 검색·추론 서비스 중단 위험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○ TO-BE (비종속 구조)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[홈택스·엔티스·AI 에이전트] → [추상화 중계 레이어(Gateway)] → [vLLM / TensorRT-LLM / 모듈형 RAG] → [온프레미스 LLM·벡터DB]</w:t>
      </w:r>
    </w:p>
    <w:p>
      <w:pPr>
        <w:spacing w:before="0" w:after="20" w:line="300" w:lineRule="auto"/>
      </w:pPr>
      <w:r>
        <w:rPr>
          <w:rFonts w:ascii="맑은 고딕" w:hAnsi="맑은 고딕" w:eastAsia="맑은 고딕"/>
          <w:b w:val="0"/>
          <w:sz w:val="20"/>
        </w:rPr>
        <w:t>- YAML 설정만으로 모델 교체(소스코드 무수정)</w:t>
      </w:r>
    </w:p>
    <w:p>
      <w:pPr>
        <w:spacing w:before="0" w:after="280" w:line="300" w:lineRule="auto"/>
      </w:pPr>
      <w:r>
        <w:rPr>
          <w:rFonts w:ascii="맑은 고딕" w:hAnsi="맑은 고딕" w:eastAsia="맑은 고딕"/>
          <w:b w:val="0"/>
          <w:sz w:val="20"/>
        </w:rPr>
        <w:t>- Raw·Refined Zone 보존으로 재임베딩만 수행, 신·구 인덱스 병행 후 무중단 전환</w:t>
      </w:r>
    </w:p>
    <w:p>
      <w:pPr>
        <w:spacing w:before="160" w:after="200" w:line="300" w:lineRule="auto"/>
        <w:jc w:val="center"/>
      </w:pPr>
      <w:r>
        <w:rPr>
          <w:rFonts w:ascii="맑은 고딕" w:hAnsi="맑은 고딕" w:eastAsia="맑은 고딕"/>
          <w:b/>
          <w:sz w:val="28"/>
        </w:rPr>
        <w:t>참고1  AI 핵심기술 종속성 위험도 해소 검토서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4"/>
        </w:rPr>
        <w:t>□ LLM 종속성 위험도 해소 방안(비종속 아키텍처 모델 도입)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○ 엔티스 응용프로그램과 LLM 추론 엔진 사이에 독립적인 추상화 중계 레이어를 구축함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① 엔티스 응용프로그램 계층 (Client Layer)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홈택스, 손택스, 엔티스 포털, AI 에이전트 등 모든 업무 시스템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- (단일화된 호출 방식) 하위 모델 종류·GPU 위치와 무관하게 단 하나의 표준 엔드포인트로 서비스 요청 전송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② 추상화 중계 레이어 (Model-Agnostic Orchestration Layer)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- 국세 각종 응용프로그램과 실제 추론 서버 사이에 위치하는 지능형 AI 게이트웨이(Gateway)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주요 기능</w:t>
            </w:r>
          </w:p>
        </w:tc>
        <w:tc>
          <w:tcPr>
            <w:tcW w:type="dxa" w:w="4873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기술적 구현 내용 및 효과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모델 가상화 (Virtualization)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엔티스는 가상 모델명으로 요청하고, 중계 레이어가 실시간 GPU 상황에 맞춰 vLLM-Exaone-32B, TRT-LLM-Solar-10.8B, Llama 3.1 등으로 물리 매핑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지능형 라우팅 &amp; Failover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특정 GPU 인스턴스 장애 시, 동일 기능 대체 모델 인스턴스로 트래픽 자동 우회(Zero-downtime)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보안 가드레일 (Guardrails)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주민등록번호·계좌번호 등 민감정보(PII) 마스킹 및 국세행정 정책 위반 질의 사전 차단 필터 일괄 적용</w:t>
            </w:r>
          </w:p>
        </w:tc>
      </w:tr>
      <w:tr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시맨틱 캐싱 (Semantic Cache)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종합소득세 신고기간 등 피크 시기, 동일·유사 질의는 Redis 캐시에서 밀리초 단위 응답 → GPU 부하 대폭 절감</w:t>
            </w:r>
          </w:p>
        </w:tc>
      </w:tr>
    </w:tbl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③ 표준 API 규격 통합 (vLLM &amp; TensorRT-LLM)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vLLM과 TensorRT-LLM은 오픈소스 진영 및 엔비디아의 산업 표준(De-facto Standard) 고성능 분산 추론 엔진으로, 두 엔진 모두 OpenAI API Specification을 내장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- (100% 규격 일체화의 의미) EXAONE 기반 32B를 vLLM으로 서빙하든, Llama 기반 70B를 TensorRT-LLM으로 서빙하든, 클라이언트가 수신하는 JSON 데이터 구조가 동일함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구분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vLLM (Virtual LLM)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TRT-LLM (TensorRT-LLM)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개발 주체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오픈소스 커뮤니티(UC 버클리 중심)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NVIDIA(엔비디아 공식)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최대 장점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사용이 쉽고, 다양한 모델을 즉시 지원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엔비디아 GPU 하드웨어 성능을 한계까지 활용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사용 환경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일반 테스트, 빠른 프로토타입 서빙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엔터프라이즈급 대규모 서비스, 고속 추론 환경</w:t>
            </w:r>
          </w:p>
        </w:tc>
      </w:tr>
    </w:tbl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4"/>
        </w:rPr>
        <w:t>□ RAG 종속성 해소 방안(모듈형 데이터 파이프라인 구축)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○ 임베딩 모델 변경에 따라 기존 벡터 DB 데이터를 모두 재가공해야 하는 구조적 종속성 해결을 위해 모듈형 데이터 파이프라인 구축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① 레고 블록 형태의 컴포넌트 개발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 w:val="0"/>
          <w:sz w:val="20"/>
        </w:rPr>
        <w:t>- AI 어시스턴트를 컴포넌트 방식으로 개발하여 특정 임베딩 엔진이나 벡터DB만 별도 업그레이드·교체 가능하도록 구현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원천데이터 → 파싱 → 분류 → 청킹 → 임베딩 → 인덱스 적재(벡터DB)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18"/>
        </w:rPr>
        <w:t>※ 파싱·분류·청킹 : 임베딩 모델 교체 시 100% 재사용 / 임베딩·인덱스 : 재생성 대상 단계만 수행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② 데이터 관리 계층의 분리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- 파운데이션 계층(모델)과 인텔리전스 계층(데이터/RAG)을 분리하고, LangChain·LlamaIndex 등 오케스트레이션 프레임워크를 미들웨어로 사용하여 데이터 소스와 AI 모델 간 결합도 낮춤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③ 하이브리드 아키텍처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단순·정형 질의 → 경량 모델(8B급) + CPU 서버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- 복잡·심층 추론 → 고성능 모델(70B급) + GPU 인프라</w:t>
      </w:r>
    </w:p>
    <w:p>
      <w:pPr>
        <w:spacing w:before="0" w:after="200" w:line="300" w:lineRule="auto"/>
      </w:pPr>
      <w:r>
        <w:rPr>
          <w:rFonts w:ascii="맑은 고딕" w:hAnsi="맑은 고딕" w:eastAsia="맑은 고딕"/>
          <w:b w:val="0"/>
          <w:sz w:val="20"/>
        </w:rPr>
        <w:t>- 표준 API 및 MCP 프로토콜 도입으로 해당 모듈만 교체하여 서비스 지속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4"/>
        </w:rPr>
        <w:t>□ 모델 중립 데이터 관리 설계의 장점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위험 요소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기존 방식 문제점</w:t>
            </w:r>
          </w:p>
        </w:tc>
        <w:tc>
          <w:tcPr>
            <w:tcW w:type="dxa" w:w="3249"/>
            <w:shd w:fill="D9E2F3" w:val="clear"/>
          </w:tcPr>
          <w:p>
            <w:r>
              <w:rPr>
                <w:rFonts w:ascii="맑은 고딕" w:hAnsi="맑은 고딕" w:eastAsia="맑은 고딕"/>
                <w:b/>
                <w:sz w:val="18"/>
              </w:rPr>
              <w:t>모델 중립 구조 설계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원문 재수집·재정제 위험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임베딩 교체 시 초기 파싱·전처리 과정 전반을 처음부터 재수행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데이터레이크 내 Raw Zone(원문·메타데이터) 및 Refined Zone(정제데이터) 완벽 보존 → 원문 재수집 없이 재임베딩만 수행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전처리 파이프라인 갱신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전처리·파싱 코드를 다시 프로그래밍해야 하는 오버헤드 발생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파싱·분류·청킹 독립 단계를 모듈로 완전 분리하여 기존 정제 산출물 전량 재활용</w:t>
            </w:r>
          </w:p>
        </w:tc>
      </w:tr>
      <w:tr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전환기간 중 가용성 중단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인덱싱 새로 생성하는 동안 검색서비스 정지 불가피</w:t>
            </w:r>
          </w:p>
        </w:tc>
        <w:tc>
          <w:tcPr>
            <w:tcW w:type="dxa" w:w="3249"/>
          </w:tcPr>
          <w:p>
            <w:r>
              <w:rPr>
                <w:rFonts w:ascii="맑은 고딕" w:hAnsi="맑은 고딕" w:eastAsia="맑은 고딕"/>
                <w:b w:val="0"/>
                <w:sz w:val="18"/>
              </w:rPr>
              <w:t>신·구 인덱스를 가상 공간상에 병행 구동 → A/B 품질 검증 완료 후 동적 무중단 스위칭</w:t>
            </w:r>
          </w:p>
        </w:tc>
      </w:tr>
    </w:tbl>
    <w:p>
      <w:pPr>
        <w:spacing w:before="0" w:after="160" w:line="300" w:lineRule="auto"/>
      </w:pPr>
      <w:r>
        <w:rPr>
          <w:rFonts w:ascii="맑은 고딕" w:hAnsi="맑은 고딕" w:eastAsia="맑은 고딕"/>
          <w:b w:val="0"/>
          <w:sz w:val="12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/>
          <w:sz w:val="24"/>
        </w:rPr>
        <w:t>□ 임베딩 모델 무중단 전환 절차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① 신규 모델 선정·평가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② GPU 유휴 시간대 배치 재임베딩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③ 신·구 인덱스 병행 구동</w:t>
      </w:r>
    </w:p>
    <w:p>
      <w:pPr>
        <w:spacing w:before="0" w:after="40" w:line="300" w:lineRule="auto"/>
      </w:pPr>
      <w:r>
        <w:rPr>
          <w:rFonts w:ascii="맑은 고딕" w:hAnsi="맑은 고딕" w:eastAsia="맑은 고딕"/>
          <w:b w:val="0"/>
          <w:sz w:val="20"/>
        </w:rPr>
        <w:t>④ 검색 품질 비교·검증</w:t>
      </w:r>
    </w:p>
    <w:p>
      <w:pPr>
        <w:spacing w:before="0" w:after="120" w:line="300" w:lineRule="auto"/>
      </w:pPr>
      <w:r>
        <w:rPr>
          <w:rFonts w:ascii="맑은 고딕" w:hAnsi="맑은 고딕" w:eastAsia="맑은 고딕"/>
          <w:b w:val="0"/>
          <w:sz w:val="20"/>
        </w:rPr>
        <w:t>⑤ 단계적 전환(구 인덱스 정리)</w:t>
      </w:r>
    </w:p>
    <w:p>
      <w:pPr>
        <w:spacing w:before="0" w:after="80" w:line="300" w:lineRule="auto"/>
      </w:pPr>
      <w:r>
        <w:rPr>
          <w:rFonts w:ascii="맑은 고딕" w:hAnsi="맑은 고딕" w:eastAsia="맑은 고딕"/>
          <w:b/>
          <w:sz w:val="22"/>
        </w:rPr>
        <w:t>⇒ 전환 비용의 성격 : 시스템 재구축(×) → 배치 재처리 + 품질 검증(○)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