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00"/>
        <w:jc w:val="center"/>
      </w:pPr>
      <w:r>
        <w:rPr>
          <w:rFonts w:ascii="Georgia" w:cs="Georgia" w:eastAsia="Georgia" w:hAnsi="Georgia"/>
          <w:b/>
          <w:bCs/>
          <w:color w:val="1A1A2E"/>
          <w:sz w:val="72"/>
          <w:szCs w:val="72"/>
        </w:rPr>
        <w:t xml:space="preserve">DOLIOS</w:t>
      </w:r>
    </w:p>
    <w:p>
      <w:pPr>
        <w:pBdr>
          <w:bottom w:val="single" w:color="E94560" w:sz="6" w:space="12"/>
        </w:pBdr>
        <w:spacing w:after="80"/>
        <w:jc w:val="center"/>
      </w:pPr>
      <w:r>
        <w:rPr>
          <w:rFonts w:ascii="Georgia" w:cs="Georgia" w:eastAsia="Georgia" w:hAnsi="Georgia"/>
          <w:color w:val="C4A35A"/>
          <w:sz w:val="28"/>
          <w:szCs w:val="28"/>
        </w:rPr>
        <w:t xml:space="preserve">ΔΟΛΙΟΣ</w:t>
      </w:r>
    </w:p>
    <w:p>
      <w:pPr>
        <w:spacing w:after="0" w:before="300"/>
      </w:pPr>
    </w:p>
    <w:p>
      <w:pPr>
        <w:spacing w:after="60"/>
        <w:jc w:val="center"/>
      </w:pPr>
      <w:r>
        <w:rPr>
          <w:rFonts w:ascii="Inter" w:cs="Inter" w:eastAsia="Inter" w:hAnsi="Inter"/>
          <w:color w:val="0F3460"/>
          <w:sz w:val="28"/>
          <w:szCs w:val="28"/>
        </w:rPr>
        <w:t xml:space="preserve">Brand Identity System</w:t>
      </w:r>
    </w:p>
    <w:p>
      <w:pPr>
        <w:spacing w:after="60"/>
        <w:jc w:val="center"/>
      </w:pPr>
      <w:r>
        <w:rPr>
          <w:rFonts w:ascii="Inter" w:cs="Inter" w:eastAsia="Inter" w:hAnsi="Inter"/>
          <w:color w:val="6B7280"/>
          <w:sz w:val="24"/>
          <w:szCs w:val="24"/>
        </w:rPr>
        <w:t xml:space="preserve">Cowork Handoff Document</w:t>
      </w:r>
    </w:p>
    <w:p>
      <w:pPr>
        <w:spacing w:after="0" w:before="800"/>
      </w:pPr>
    </w:p>
    <w:p>
      <w:pPr>
        <w:spacing w:after="60"/>
        <w:jc w:val="center"/>
      </w:pPr>
      <w:r>
        <w:rPr>
          <w:rFonts w:ascii="Inter" w:cs="Inter" w:eastAsia="Inter" w:hAnsi="Inter"/>
          <w:color w:val="6B7280"/>
          <w:sz w:val="20"/>
          <w:szCs w:val="20"/>
        </w:rPr>
        <w:t xml:space="preserve">Prepared for: Aaryan</w:t>
      </w:r>
    </w:p>
    <w:p>
      <w:pPr>
        <w:spacing w:after="60"/>
        <w:jc w:val="center"/>
      </w:pPr>
      <w:r>
        <w:rPr>
          <w:rFonts w:ascii="Inter" w:cs="Inter" w:eastAsia="Inter" w:hAnsi="Inter"/>
          <w:color w:val="6B7280"/>
          <w:sz w:val="20"/>
          <w:szCs w:val="20"/>
        </w:rPr>
        <w:t xml:space="preserve">Product: NeMo / Nous Research Hermes Agentic System</w:t>
      </w:r>
    </w:p>
    <w:p>
      <w:pPr>
        <w:jc w:val="center"/>
      </w:pPr>
      <w:r>
        <w:rPr>
          <w:rFonts w:ascii="Inter" w:cs="Inter" w:eastAsia="Inter" w:hAnsi="Inter"/>
          <w:color w:val="6B7280"/>
          <w:sz w:val="20"/>
          <w:szCs w:val="20"/>
        </w:rPr>
        <w:t xml:space="preserve">Version 1.0  —  March 2026</w:t>
      </w:r>
    </w:p>
    <w:p>
      <w:pPr>
        <w:sectPr>
          <w:pgSz w:w="12240" w:h="15840" w:orient="portrait"/>
          <w:pgMar w:top="1440" w:right="1440" w:bottom="1440" w:left="1440" w:header="708" w:footer="708" w:gutter="0"/>
          <w:pgNumType/>
          <w:docGrid w:linePitch="360"/>
        </w:sectPr>
      </w:pPr>
    </w:p>
    <w:p>
      <w:pPr>
        <w:pStyle w:val="Heading1"/>
        <w:spacing w:after="200" w:before="400"/>
      </w:pPr>
      <w:r>
        <w:rPr>
          <w:rFonts w:ascii="Georgia" w:cs="Georgia" w:eastAsia="Georgia" w:hAnsi="Georgia"/>
          <w:b/>
          <w:bCs/>
          <w:color w:val="1A1A2E"/>
          <w:sz w:val="36"/>
          <w:szCs w:val="36"/>
        </w:rPr>
        <w:t xml:space="preserve">1. Strategic Foundation</w:t>
      </w:r>
    </w:p>
    <w:p>
      <w:pPr>
        <w:pBdr>
          <w:bottom w:val="single" w:color="E94560" w:sz="4" w:space="8"/>
        </w:pBdr>
        <w:spacing w:after="200" w:before="200"/>
      </w:pPr>
    </w:p>
    <w:p>
      <w:pPr>
        <w:pStyle w:val="Heading2"/>
        <w:spacing w:after="150" w:before="300"/>
      </w:pPr>
      <w:r>
        <w:rPr>
          <w:rFonts w:ascii="Georgia" w:cs="Georgia" w:eastAsia="Georgia" w:hAnsi="Georgia"/>
          <w:b/>
          <w:bCs/>
          <w:color w:val="0F3460"/>
          <w:sz w:val="28"/>
          <w:szCs w:val="28"/>
        </w:rPr>
        <w:t xml:space="preserve">1.1 Brand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22"/>
                <w:szCs w:val="22"/>
              </w:rPr>
              <w:t xml:space="preserve">Name</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2"/>
                <w:szCs w:val="22"/>
              </w:rPr>
              <w:t xml:space="preserve">Dolios</w:t>
            </w:r>
          </w:p>
        </w:tc>
      </w:tr>
      <w:tr>
        <w:tc>
          <w:tcPr>
            <w:tcW w:type="dxa" w:w="32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22"/>
                <w:szCs w:val="22"/>
              </w:rPr>
              <w:t xml:space="preserve">Pronunciation</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2"/>
                <w:szCs w:val="22"/>
              </w:rPr>
              <w:t xml:space="preserve">DOH-lee-os (three syllables, stress on first)</w:t>
            </w:r>
          </w:p>
        </w:tc>
      </w:tr>
      <w:tr>
        <w:tc>
          <w:tcPr>
            <w:tcW w:type="dxa" w:w="32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22"/>
                <w:szCs w:val="22"/>
              </w:rPr>
              <w:t xml:space="preserve">Greek Origin</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2"/>
                <w:szCs w:val="22"/>
              </w:rPr>
              <w:t xml:space="preserve">Δόλιος — “The Crafty One” / “The Schemer”</w:t>
            </w:r>
          </w:p>
        </w:tc>
      </w:tr>
      <w:tr>
        <w:tc>
          <w:tcPr>
            <w:tcW w:type="dxa" w:w="32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22"/>
                <w:szCs w:val="22"/>
              </w:rPr>
              <w:t xml:space="preserve">Mythological Link</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2"/>
                <w:szCs w:val="22"/>
              </w:rPr>
              <w:t xml:space="preserve">Grandfather (or loyal servant) of Hermes, god of messengers, commerce, and thieves. Direct lineage to the Nous Research Hermes model family.</w:t>
            </w:r>
          </w:p>
        </w:tc>
      </w:tr>
      <w:tr>
        <w:tc>
          <w:tcPr>
            <w:tcW w:type="dxa" w:w="32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22"/>
                <w:szCs w:val="22"/>
              </w:rPr>
              <w:t xml:space="preserve">Semantic Fit</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2"/>
                <w:szCs w:val="22"/>
              </w:rPr>
              <w:t xml:space="preserve">An agent that plans, schemes, and executes multi-step tool use. Dolios captures the cunning intelligence of agentic AI — not just messaging, but strategic action.</w:t>
            </w:r>
          </w:p>
        </w:tc>
      </w:tr>
      <w:tr>
        <w:tc>
          <w:tcPr>
            <w:tcW w:type="dxa" w:w="32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22"/>
                <w:szCs w:val="22"/>
              </w:rPr>
              <w:t xml:space="preserve">Namespace</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2"/>
                <w:szCs w:val="22"/>
              </w:rPr>
              <w:t xml:space="preserve">Near-zero collision. Domain-available. Unique in AI/ML space.</w:t>
            </w:r>
          </w:p>
        </w:tc>
      </w:tr>
    </w:tbl>
    <w:p>
      <w:pPr>
        <w:spacing w:after="0" w:before="200"/>
      </w:pPr>
    </w:p>
    <w:p>
      <w:pPr>
        <w:pStyle w:val="Heading2"/>
        <w:spacing w:after="150" w:before="300"/>
      </w:pPr>
      <w:r>
        <w:rPr>
          <w:rFonts w:ascii="Georgia" w:cs="Georgia" w:eastAsia="Georgia" w:hAnsi="Georgia"/>
          <w:b/>
          <w:bCs/>
          <w:color w:val="0F3460"/>
          <w:sz w:val="28"/>
          <w:szCs w:val="28"/>
        </w:rPr>
        <w:t xml:space="preserve">1.2 Brand Positioning</w:t>
      </w:r>
    </w:p>
    <w:p>
      <w:pPr>
        <w:spacing w:after="160" w:line="320"/>
        <w:jc w:val="left"/>
      </w:pPr>
      <w:r>
        <w:rPr>
          <w:rFonts w:ascii="Inter" w:cs="Inter" w:eastAsia="Inter" w:hAnsi="Inter"/>
          <w:color w:val="1A1A2E"/>
          <w:sz w:val="22"/>
          <w:szCs w:val="22"/>
        </w:rPr>
        <w:t xml:space="preserve">Dolios is the agentic execution layer for the Hermes model ecosystem. It inherits Hermes’ intelligence and adds autonomy — the ability to plan, reason across tools, and execute multi-step workflows without hand-holding.</w:t>
      </w:r>
    </w:p>
    <w:p>
      <w:pPr>
        <w:spacing w:after="120" w:line="320"/>
      </w:pPr>
      <w:r>
        <w:rPr>
          <w:rFonts w:ascii="Inter" w:cs="Inter" w:eastAsia="Inter" w:hAnsi="Inter"/>
          <w:b/>
          <w:bCs/>
          <w:color w:val="1A1A2E"/>
          <w:sz w:val="22"/>
          <w:szCs w:val="22"/>
        </w:rPr>
        <w:t xml:space="preserve">Positioning Statement: </w:t>
      </w:r>
      <w:r>
        <w:rPr>
          <w:rFonts w:ascii="Inter" w:cs="Inter" w:eastAsia="Inter" w:hAnsi="Inter"/>
          <w:color w:val="1A1A2E"/>
          <w:sz w:val="22"/>
          <w:szCs w:val="22"/>
        </w:rPr>
        <w:t xml:space="preserve">Dolios is the crafty agent that turns language model intelligence into autonomous action — planning, orchestrating, and executing complex workflows across any tool or API.</w:t>
      </w:r>
    </w:p>
    <w:p>
      <w:pPr>
        <w:spacing w:after="0" w:before="100"/>
      </w:pPr>
    </w:p>
    <w:p>
      <w:pPr>
        <w:pStyle w:val="Heading2"/>
        <w:spacing w:after="150" w:before="300"/>
      </w:pPr>
      <w:r>
        <w:rPr>
          <w:rFonts w:ascii="Georgia" w:cs="Georgia" w:eastAsia="Georgia" w:hAnsi="Georgia"/>
          <w:b/>
          <w:bCs/>
          <w:color w:val="0F3460"/>
          <w:sz w:val="28"/>
          <w:szCs w:val="28"/>
        </w:rPr>
        <w:t xml:space="preserve">1.3 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22"/>
                <w:szCs w:val="22"/>
              </w:rPr>
              <w:t xml:space="preserve">Primary</w:t>
            </w:r>
          </w:p>
        </w:tc>
        <w:tc>
          <w:tcPr>
            <w:tcW w:type="dxa" w:w="65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2"/>
                <w:szCs w:val="22"/>
              </w:rPr>
              <w:t xml:space="preserve">ML/AI engineers building agentic systems, open-source developers in the Nous Research / NeMo ecosystem</w:t>
            </w:r>
          </w:p>
        </w:tc>
      </w:tr>
      <w:tr>
        <w:tc>
          <w:tcPr>
            <w:tcW w:type="dxa" w:w="28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22"/>
                <w:szCs w:val="22"/>
              </w:rPr>
              <w:t xml:space="preserve">Secondary</w:t>
            </w:r>
          </w:p>
        </w:tc>
        <w:tc>
          <w:tcPr>
            <w:tcW w:type="dxa" w:w="65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2"/>
                <w:szCs w:val="22"/>
              </w:rPr>
              <w:t xml:space="preserve">Enterprise teams evaluating agent frameworks for production deployment</w:t>
            </w:r>
          </w:p>
        </w:tc>
      </w:tr>
      <w:tr>
        <w:tc>
          <w:tcPr>
            <w:tcW w:type="dxa" w:w="28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22"/>
                <w:szCs w:val="22"/>
              </w:rPr>
              <w:t xml:space="preserve">Tertiary</w:t>
            </w:r>
          </w:p>
        </w:tc>
        <w:tc>
          <w:tcPr>
            <w:tcW w:type="dxa" w:w="65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2"/>
                <w:szCs w:val="22"/>
              </w:rPr>
              <w:t xml:space="preserve">Developer advocates, AI researchers, and the broader MCP/OpenClaw community</w:t>
            </w:r>
          </w:p>
        </w:tc>
      </w:tr>
    </w:tbl>
    <w:p>
      <w:pPr>
        <w:spacing w:after="0" w:before="100"/>
      </w:pPr>
    </w:p>
    <w:p>
      <w:pPr>
        <w:pStyle w:val="Heading2"/>
        <w:spacing w:after="150" w:before="300"/>
      </w:pPr>
      <w:r>
        <w:rPr>
          <w:rFonts w:ascii="Georgia" w:cs="Georgia" w:eastAsia="Georgia" w:hAnsi="Georgia"/>
          <w:b/>
          <w:bCs/>
          <w:color w:val="0F3460"/>
          <w:sz w:val="28"/>
          <w:szCs w:val="28"/>
        </w:rPr>
        <w:t xml:space="preserve">1.4 Competitive Landscape</w:t>
      </w:r>
    </w:p>
    <w:p>
      <w:pPr>
        <w:spacing w:after="160" w:line="320"/>
        <w:jc w:val="left"/>
      </w:pPr>
      <w:r>
        <w:rPr>
          <w:rFonts w:ascii="Inter" w:cs="Inter" w:eastAsia="Inter" w:hAnsi="Inter"/>
          <w:color w:val="1A1A2E"/>
          <w:sz w:val="22"/>
          <w:szCs w:val="22"/>
        </w:rPr>
        <w:t xml:space="preserve">The agent framework space is crowded with generic names. Dolios must feel mythological yet technical, distinctive yet accessible.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Competitor</w:t>
            </w:r>
          </w:p>
        </w:tc>
        <w:tc>
          <w:tcPr>
            <w:tcW w:type="dxa" w:w="348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Name Style</w:t>
            </w:r>
          </w:p>
        </w:tc>
        <w:tc>
          <w:tcPr>
            <w:tcW w:type="dxa" w:w="348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Dolios Differentiator</w:t>
            </w:r>
          </w:p>
        </w:tc>
      </w:tr>
      <w:tr>
        <w:tc>
          <w:tcPr>
            <w:tcW w:type="dxa" w:w="24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22"/>
                <w:szCs w:val="22"/>
              </w:rPr>
              <w:t xml:space="preserve">AutoGPT</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2"/>
                <w:szCs w:val="22"/>
              </w:rPr>
              <w:t xml:space="preserve">Descriptive / literal</w:t>
            </w:r>
          </w:p>
        </w:tc>
      </w:tr>
      <w:tr>
        <w:tc>
          <w:tcPr>
            <w:tcW w:type="dxa" w:w="24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22"/>
                <w:szCs w:val="22"/>
              </w:rPr>
              <w:t xml:space="preserve">CrewAI</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2"/>
                <w:szCs w:val="22"/>
              </w:rPr>
              <w:t xml:space="preserve">Metaphorical (team)</w:t>
            </w:r>
          </w:p>
        </w:tc>
      </w:tr>
      <w:tr>
        <w:tc>
          <w:tcPr>
            <w:tcW w:type="dxa" w:w="24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22"/>
                <w:szCs w:val="22"/>
              </w:rPr>
              <w:t xml:space="preserve">LangChain</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2"/>
                <w:szCs w:val="22"/>
              </w:rPr>
              <w:t xml:space="preserve">Technical compound</w:t>
            </w:r>
          </w:p>
        </w:tc>
      </w:tr>
      <w:tr>
        <w:tc>
          <w:tcPr>
            <w:tcW w:type="dxa" w:w="24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22"/>
                <w:szCs w:val="22"/>
              </w:rPr>
              <w:t xml:space="preserve">OpenDevin</w:t>
            </w:r>
          </w:p>
        </w:tc>
        <w:tc>
          <w:tcPr>
            <w:tcW w:type="dxa" w:w="69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2"/>
                <w:szCs w:val="22"/>
              </w:rPr>
              <w:t xml:space="preserve">Open-source + name</w:t>
            </w:r>
          </w:p>
        </w:tc>
      </w:tr>
    </w:tbl>
    <w:p>
      <w:pPr>
        <w:spacing w:after="160" w:line="320"/>
        <w:jc w:val="left"/>
      </w:pPr>
      <w:r>
        <w:rPr>
          <w:rFonts w:ascii="Inter" w:cs="Inter" w:eastAsia="Inter" w:hAnsi="Inter"/>
          <w:color w:val="1A1A2E"/>
          <w:sz w:val="22"/>
          <w:szCs w:val="22"/>
        </w:rPr>
        <w:t xml:space="preserve">Dolios occupies the “mythological + technical” quadrant — a name with narrative depth that none of the above have. It signals heritage (Hermes lineage), capability (crafty execution), and distinctiveness (zero namespace collision).</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400"/>
      </w:pPr>
      <w:r>
        <w:rPr>
          <w:rFonts w:ascii="Georgia" w:cs="Georgia" w:eastAsia="Georgia" w:hAnsi="Georgia"/>
          <w:b/>
          <w:bCs/>
          <w:color w:val="1A1A2E"/>
          <w:sz w:val="36"/>
          <w:szCs w:val="36"/>
        </w:rPr>
        <w:t xml:space="preserve">2. Color System</w:t>
      </w:r>
    </w:p>
    <w:p>
      <w:pPr>
        <w:pBdr>
          <w:bottom w:val="single" w:color="E94560" w:sz="4" w:space="8"/>
        </w:pBdr>
        <w:spacing w:after="200" w:before="200"/>
      </w:pPr>
    </w:p>
    <w:p>
      <w:pPr>
        <w:spacing w:after="160" w:line="320"/>
        <w:jc w:val="left"/>
      </w:pPr>
      <w:r>
        <w:rPr>
          <w:rFonts w:ascii="Inter" w:cs="Inter" w:eastAsia="Inter" w:hAnsi="Inter"/>
          <w:color w:val="1A1A2E"/>
          <w:sz w:val="22"/>
          <w:szCs w:val="22"/>
        </w:rPr>
        <w:t xml:space="preserve">The Dolios palette balances authority with energy. The deep midnight base establishes technical credibility, while Signal Red provides the spark of action — the moment an agent decides to act. Antiquity Gold anchors the mythological heritage.</w:t>
      </w:r>
    </w:p>
    <w:p>
      <w:pPr>
        <w:spacing w:after="0" w:before="100"/>
      </w:pPr>
    </w:p>
    <w:p>
      <w:pPr>
        <w:pStyle w:val="Heading2"/>
        <w:spacing w:after="150" w:before="300"/>
      </w:pPr>
      <w:r>
        <w:rPr>
          <w:rFonts w:ascii="Georgia" w:cs="Georgia" w:eastAsia="Georgia" w:hAnsi="Georgia"/>
          <w:b/>
          <w:bCs/>
          <w:color w:val="0F3460"/>
          <w:sz w:val="28"/>
          <w:szCs w:val="28"/>
        </w:rPr>
        <w:t xml:space="preserve">2.1 Primary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760"/>
        <w:gridCol w:w="4000"/>
      </w:tblGrid>
      <w:tr>
        <w:tc>
          <w:tcPr>
            <w:tcW w:type="dxa" w:w="140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40"/>
            </w:tcMar>
          </w:tcPr>
          <w:p>
            <w:r>
              <w:rPr>
                <w:rFonts w:ascii="Inter" w:cs="Inter" w:eastAsia="Inter" w:hAnsi="Inter"/>
                <w:b/>
                <w:bCs/>
                <w:color w:val="FFFFFF"/>
                <w:sz w:val="18"/>
                <w:szCs w:val="18"/>
              </w:rPr>
              <w:t xml:space="preserve">Swatch</w:t>
            </w:r>
          </w:p>
        </w:tc>
        <w:tc>
          <w:tcPr>
            <w:tcW w:type="dxa" w:w="22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18"/>
                <w:szCs w:val="18"/>
              </w:rPr>
              <w:t xml:space="preserve">Name</w:t>
            </w:r>
          </w:p>
        </w:tc>
        <w:tc>
          <w:tcPr>
            <w:tcW w:type="dxa" w:w="176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18"/>
                <w:szCs w:val="18"/>
              </w:rPr>
              <w:t xml:space="preserve">Hex</w:t>
            </w:r>
          </w:p>
        </w:tc>
        <w:tc>
          <w:tcPr>
            <w:tcW w:type="dxa" w:w="40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18"/>
                <w:szCs w:val="18"/>
              </w:rPr>
              <w:t xml:space="preserve">Usage</w:t>
            </w:r>
          </w:p>
        </w:tc>
      </w:tr>
      <w:tr>
        <w:tc>
          <w:tcPr>
            <w:tcW w:type="dxa" w:w="140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40"/>
            </w:tcMar>
            <w:vAlign w:val="center"/>
          </w:tcPr>
          <w:p>
            <w:r>
              <w:rPr>
                <w:rFonts w:ascii="Inter" w:cs="Inter" w:eastAsia="Inter" w:hAnsi="Inter"/>
                <w:sz w:val="20"/>
                <w:szCs w:val="20"/>
              </w:rPr>
              <w:t xml:space="preserve"> </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bCs/>
                <w:color w:val="1A1A2E"/>
                <w:sz w:val="22"/>
                <w:szCs w:val="22"/>
              </w:rPr>
              <w:t xml:space="preserve">Deep Midnight</w:t>
            </w:r>
          </w:p>
        </w:tc>
        <w:tc>
          <w:tcPr>
            <w:tcW w:type="dxa" w:w="17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Courier New" w:cs="Courier New" w:eastAsia="Courier New" w:hAnsi="Courier New"/>
                <w:color w:val="6B7280"/>
                <w:sz w:val="20"/>
                <w:szCs w:val="20"/>
              </w:rPr>
              <w:t xml:space="preserve">#1A1A2E</w:t>
            </w:r>
          </w:p>
        </w:tc>
        <w:tc>
          <w:tcPr>
            <w:tcW w:type="dxa" w:w="40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color w:val="1A1A2E"/>
                <w:sz w:val="20"/>
                <w:szCs w:val="20"/>
              </w:rPr>
              <w:t xml:space="preserve">Primary backgrounds, wordmark, headers, hero sections</w:t>
            </w:r>
          </w:p>
        </w:tc>
      </w:tr>
      <w:tr>
        <w:tc>
          <w:tcPr>
            <w:tcW w:type="dxa" w:w="1400"/>
            <w:tcBorders>
              <w:top w:val="single" w:color="E5E7EB" w:sz="1"/>
              <w:left w:val="single" w:color="E5E7EB" w:sz="1"/>
              <w:bottom w:val="single" w:color="E5E7EB" w:sz="1"/>
              <w:right w:val="single" w:color="E5E7EB" w:sz="1"/>
            </w:tcBorders>
            <w:shd w:fill="E94560" w:val="clear"/>
            <w:tcMar>
              <w:top w:type="dxa" w:w="100"/>
              <w:left w:type="dxa" w:w="140"/>
              <w:bottom w:type="dxa" w:w="100"/>
              <w:right w:type="dxa" w:w="140"/>
            </w:tcMar>
            <w:vAlign w:val="center"/>
          </w:tcPr>
          <w:p>
            <w:r>
              <w:rPr>
                <w:rFonts w:ascii="Inter" w:cs="Inter" w:eastAsia="Inter" w:hAnsi="Inter"/>
                <w:sz w:val="20"/>
                <w:szCs w:val="20"/>
              </w:rPr>
              <w:t xml:space="preserve"> </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bCs/>
                <w:color w:val="1A1A2E"/>
                <w:sz w:val="22"/>
                <w:szCs w:val="22"/>
              </w:rPr>
              <w:t xml:space="preserve">Signal Red</w:t>
            </w:r>
          </w:p>
        </w:tc>
        <w:tc>
          <w:tcPr>
            <w:tcW w:type="dxa" w:w="17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Courier New" w:cs="Courier New" w:eastAsia="Courier New" w:hAnsi="Courier New"/>
                <w:color w:val="6B7280"/>
                <w:sz w:val="20"/>
                <w:szCs w:val="20"/>
              </w:rPr>
              <w:t xml:space="preserve">#E94560</w:t>
            </w:r>
          </w:p>
        </w:tc>
        <w:tc>
          <w:tcPr>
            <w:tcW w:type="dxa" w:w="40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color w:val="1A1A2E"/>
                <w:sz w:val="20"/>
                <w:szCs w:val="20"/>
              </w:rPr>
              <w:t xml:space="preserve">CTAs, active states, status indicators, the “action spark”</w:t>
            </w:r>
          </w:p>
        </w:tc>
      </w:tr>
      <w:tr>
        <w:tc>
          <w:tcPr>
            <w:tcW w:type="dxa" w:w="1400"/>
            <w:tcBorders>
              <w:top w:val="single" w:color="E5E7EB" w:sz="1"/>
              <w:left w:val="single" w:color="E5E7EB" w:sz="1"/>
              <w:bottom w:val="single" w:color="E5E7EB" w:sz="1"/>
              <w:right w:val="single" w:color="E5E7EB" w:sz="1"/>
            </w:tcBorders>
            <w:shd w:fill="0F3460" w:val="clear"/>
            <w:tcMar>
              <w:top w:type="dxa" w:w="100"/>
              <w:left w:type="dxa" w:w="140"/>
              <w:bottom w:type="dxa" w:w="100"/>
              <w:right w:type="dxa" w:w="140"/>
            </w:tcMar>
            <w:vAlign w:val="center"/>
          </w:tcPr>
          <w:p>
            <w:r>
              <w:rPr>
                <w:rFonts w:ascii="Inter" w:cs="Inter" w:eastAsia="Inter" w:hAnsi="Inter"/>
                <w:sz w:val="20"/>
                <w:szCs w:val="20"/>
              </w:rPr>
              <w:t xml:space="preserve"> </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bCs/>
                <w:color w:val="1A1A2E"/>
                <w:sz w:val="22"/>
                <w:szCs w:val="22"/>
              </w:rPr>
              <w:t xml:space="preserve">Strategy Blue</w:t>
            </w:r>
          </w:p>
        </w:tc>
        <w:tc>
          <w:tcPr>
            <w:tcW w:type="dxa" w:w="17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Courier New" w:cs="Courier New" w:eastAsia="Courier New" w:hAnsi="Courier New"/>
                <w:color w:val="6B7280"/>
                <w:sz w:val="20"/>
                <w:szCs w:val="20"/>
              </w:rPr>
              <w:t xml:space="preserve">#0F3460</w:t>
            </w:r>
          </w:p>
        </w:tc>
        <w:tc>
          <w:tcPr>
            <w:tcW w:type="dxa" w:w="40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color w:val="1A1A2E"/>
                <w:sz w:val="20"/>
                <w:szCs w:val="20"/>
              </w:rPr>
              <w:t xml:space="preserve">Secondary text, code blocks, technical UI, links</w:t>
            </w:r>
          </w:p>
        </w:tc>
      </w:tr>
      <w:tr>
        <w:tc>
          <w:tcPr>
            <w:tcW w:type="dxa" w:w="1400"/>
            <w:tcBorders>
              <w:top w:val="single" w:color="E5E7EB" w:sz="1"/>
              <w:left w:val="single" w:color="E5E7EB" w:sz="1"/>
              <w:bottom w:val="single" w:color="E5E7EB" w:sz="1"/>
              <w:right w:val="single" w:color="E5E7EB" w:sz="1"/>
            </w:tcBorders>
            <w:shd w:fill="16213E" w:val="clear"/>
            <w:tcMar>
              <w:top w:type="dxa" w:w="100"/>
              <w:left w:type="dxa" w:w="140"/>
              <w:bottom w:type="dxa" w:w="100"/>
              <w:right w:type="dxa" w:w="140"/>
            </w:tcMar>
            <w:vAlign w:val="center"/>
          </w:tcPr>
          <w:p>
            <w:r>
              <w:rPr>
                <w:rFonts w:ascii="Inter" w:cs="Inter" w:eastAsia="Inter" w:hAnsi="Inter"/>
                <w:sz w:val="20"/>
                <w:szCs w:val="20"/>
              </w:rPr>
              <w:t xml:space="preserve"> </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bCs/>
                <w:color w:val="1A1A2E"/>
                <w:sz w:val="22"/>
                <w:szCs w:val="22"/>
              </w:rPr>
              <w:t xml:space="preserve">Dark Navy</w:t>
            </w:r>
          </w:p>
        </w:tc>
        <w:tc>
          <w:tcPr>
            <w:tcW w:type="dxa" w:w="17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Courier New" w:cs="Courier New" w:eastAsia="Courier New" w:hAnsi="Courier New"/>
                <w:color w:val="6B7280"/>
                <w:sz w:val="20"/>
                <w:szCs w:val="20"/>
              </w:rPr>
              <w:t xml:space="preserve">#16213E</w:t>
            </w:r>
          </w:p>
        </w:tc>
        <w:tc>
          <w:tcPr>
            <w:tcW w:type="dxa" w:w="40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color w:val="1A1A2E"/>
                <w:sz w:val="20"/>
                <w:szCs w:val="20"/>
              </w:rPr>
              <w:t xml:space="preserve">Gradients, sidebar backgrounds, card surfaces</w:t>
            </w:r>
          </w:p>
        </w:tc>
      </w:tr>
      <w:tr>
        <w:tc>
          <w:tcPr>
            <w:tcW w:type="dxa" w:w="1400"/>
            <w:tcBorders>
              <w:top w:val="single" w:color="E5E7EB" w:sz="1"/>
              <w:left w:val="single" w:color="E5E7EB" w:sz="1"/>
              <w:bottom w:val="single" w:color="E5E7EB" w:sz="1"/>
              <w:right w:val="single" w:color="E5E7EB" w:sz="1"/>
            </w:tcBorders>
            <w:shd w:fill="C4A35A" w:val="clear"/>
            <w:tcMar>
              <w:top w:type="dxa" w:w="100"/>
              <w:left w:type="dxa" w:w="140"/>
              <w:bottom w:type="dxa" w:w="100"/>
              <w:right w:type="dxa" w:w="140"/>
            </w:tcMar>
            <w:vAlign w:val="center"/>
          </w:tcPr>
          <w:p>
            <w:r>
              <w:rPr>
                <w:rFonts w:ascii="Inter" w:cs="Inter" w:eastAsia="Inter" w:hAnsi="Inter"/>
                <w:sz w:val="20"/>
                <w:szCs w:val="20"/>
              </w:rPr>
              <w:t xml:space="preserve"> </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bCs/>
                <w:color w:val="1A1A2E"/>
                <w:sz w:val="22"/>
                <w:szCs w:val="22"/>
              </w:rPr>
              <w:t xml:space="preserve">Antiquity Gold</w:t>
            </w:r>
          </w:p>
        </w:tc>
        <w:tc>
          <w:tcPr>
            <w:tcW w:type="dxa" w:w="17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Courier New" w:cs="Courier New" w:eastAsia="Courier New" w:hAnsi="Courier New"/>
                <w:color w:val="6B7280"/>
                <w:sz w:val="20"/>
                <w:szCs w:val="20"/>
              </w:rPr>
              <w:t xml:space="preserve">#C4A35A</w:t>
            </w:r>
          </w:p>
        </w:tc>
        <w:tc>
          <w:tcPr>
            <w:tcW w:type="dxa" w:w="40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color w:val="1A1A2E"/>
                <w:sz w:val="20"/>
                <w:szCs w:val="20"/>
              </w:rPr>
              <w:t xml:space="preserve">Accent details, Greek letterforms, premium tier indicators</w:t>
            </w:r>
          </w:p>
        </w:tc>
      </w:tr>
      <w:tr>
        <w:tc>
          <w:tcPr>
            <w:tcW w:type="dxa" w:w="14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vAlign w:val="center"/>
          </w:tcPr>
          <w:p>
            <w:r>
              <w:rPr>
                <w:rFonts w:ascii="Inter" w:cs="Inter" w:eastAsia="Inter" w:hAnsi="Inter"/>
                <w:sz w:val="20"/>
                <w:szCs w:val="20"/>
              </w:rPr>
              <w:t xml:space="preserve"> </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bCs/>
                <w:color w:val="1A1A2E"/>
                <w:sz w:val="22"/>
                <w:szCs w:val="22"/>
              </w:rPr>
              <w:t xml:space="preserve">Light Gray</w:t>
            </w:r>
          </w:p>
        </w:tc>
        <w:tc>
          <w:tcPr>
            <w:tcW w:type="dxa" w:w="17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Courier New" w:cs="Courier New" w:eastAsia="Courier New" w:hAnsi="Courier New"/>
                <w:color w:val="6B7280"/>
                <w:sz w:val="20"/>
                <w:szCs w:val="20"/>
              </w:rPr>
              <w:t xml:space="preserve">#F5F5F7</w:t>
            </w:r>
          </w:p>
        </w:tc>
        <w:tc>
          <w:tcPr>
            <w:tcW w:type="dxa" w:w="40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color w:val="1A1A2E"/>
                <w:sz w:val="20"/>
                <w:szCs w:val="20"/>
              </w:rPr>
              <w:t xml:space="preserve">Page backgrounds, table headers, input fields</w:t>
            </w:r>
          </w:p>
        </w:tc>
      </w:tr>
    </w:tbl>
    <w:p>
      <w:pPr>
        <w:spacing w:after="0" w:before="200"/>
      </w:pPr>
    </w:p>
    <w:p>
      <w:pPr>
        <w:pStyle w:val="Heading2"/>
        <w:spacing w:after="150" w:before="300"/>
      </w:pPr>
      <w:r>
        <w:rPr>
          <w:rFonts w:ascii="Georgia" w:cs="Georgia" w:eastAsia="Georgia" w:hAnsi="Georgia"/>
          <w:b/>
          <w:bCs/>
          <w:color w:val="0F3460"/>
          <w:sz w:val="28"/>
          <w:szCs w:val="28"/>
        </w:rPr>
        <w:t xml:space="preserve">2.2 Color Psychology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22"/>
                <w:szCs w:val="22"/>
              </w:rPr>
              <w:t xml:space="preserve">Deep Midnight + Navy</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2"/>
                <w:szCs w:val="22"/>
              </w:rPr>
              <w:t xml:space="preserve">Establishes authority and technical depth. Signals “this is infrastructure-grade software.” Common in enterprise dev tools (GitHub, Linear, Vercel).</w:t>
            </w:r>
          </w:p>
        </w:tc>
      </w:tr>
      <w:tr>
        <w:tc>
          <w:tcPr>
            <w:tcW w:type="dxa" w:w="32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22"/>
                <w:szCs w:val="22"/>
              </w:rPr>
              <w:t xml:space="preserve">Signal Red</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2"/>
                <w:szCs w:val="22"/>
              </w:rPr>
              <w:t xml:space="preserve">Borrowed from alert/notification design language. For an agent, red = action taken, decision made, execution in progress. It’s the visual equivalent of a tool call firing.</w:t>
            </w:r>
          </w:p>
        </w:tc>
      </w:tr>
      <w:tr>
        <w:tc>
          <w:tcPr>
            <w:tcW w:type="dxa" w:w="32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22"/>
                <w:szCs w:val="22"/>
              </w:rPr>
              <w:t xml:space="preserve">Antiquity Gold</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2"/>
                <w:szCs w:val="22"/>
              </w:rPr>
              <w:t xml:space="preserve">The mythological anchor. Used sparingly for premium/heritage moments. Prevents the palette from feeling like “just another dark dev tool.”</w:t>
            </w:r>
          </w:p>
        </w:tc>
      </w:tr>
      <w:tr>
        <w:tc>
          <w:tcPr>
            <w:tcW w:type="dxa" w:w="32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22"/>
                <w:szCs w:val="22"/>
              </w:rPr>
              <w:t xml:space="preserve">Strategy Blue</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2"/>
                <w:szCs w:val="22"/>
              </w:rPr>
              <w:t xml:space="preserve">The analytical counterweight. Trust, intelligence, clarity. Used for informational content where red would feel alarming.</w:t>
            </w:r>
          </w:p>
        </w:tc>
      </w:tr>
    </w:tbl>
    <w:p>
      <w:pPr>
        <w:spacing w:after="0" w:before="200"/>
      </w:pPr>
    </w:p>
    <w:p>
      <w:pPr>
        <w:pStyle w:val="Heading2"/>
        <w:spacing w:after="150" w:before="300"/>
      </w:pPr>
      <w:r>
        <w:rPr>
          <w:rFonts w:ascii="Georgia" w:cs="Georgia" w:eastAsia="Georgia" w:hAnsi="Georgia"/>
          <w:b/>
          <w:bCs/>
          <w:color w:val="0F3460"/>
          <w:sz w:val="28"/>
          <w:szCs w:val="28"/>
        </w:rPr>
        <w:t xml:space="preserve">2.3 Color Ratios</w:t>
      </w:r>
    </w:p>
    <w:p>
      <w:pPr>
        <w:spacing w:after="160" w:line="320"/>
        <w:jc w:val="left"/>
      </w:pPr>
      <w:r>
        <w:rPr>
          <w:rFonts w:ascii="Inter" w:cs="Inter" w:eastAsia="Inter" w:hAnsi="Inter"/>
          <w:color w:val="1A1A2E"/>
          <w:sz w:val="22"/>
          <w:szCs w:val="22"/>
        </w:rPr>
        <w:t xml:space="preserve">60% Deep Midnight / Dark Navy (backgrounds, structure)</w:t>
      </w:r>
    </w:p>
    <w:p>
      <w:pPr>
        <w:spacing w:after="160" w:line="320"/>
        <w:jc w:val="left"/>
      </w:pPr>
      <w:r>
        <w:rPr>
          <w:rFonts w:ascii="Inter" w:cs="Inter" w:eastAsia="Inter" w:hAnsi="Inter"/>
          <w:color w:val="1A1A2E"/>
          <w:sz w:val="22"/>
          <w:szCs w:val="22"/>
        </w:rPr>
        <w:t xml:space="preserve">25% Strategy Blue / Light Gray (content, surfaces)</w:t>
      </w:r>
    </w:p>
    <w:p>
      <w:pPr>
        <w:spacing w:after="160" w:line="320"/>
        <w:jc w:val="left"/>
      </w:pPr>
      <w:r>
        <w:rPr>
          <w:rFonts w:ascii="Inter" w:cs="Inter" w:eastAsia="Inter" w:hAnsi="Inter"/>
          <w:color w:val="1A1A2E"/>
          <w:sz w:val="22"/>
          <w:szCs w:val="22"/>
        </w:rPr>
        <w:t xml:space="preserve">10% Signal Red (action points, CTAs, highlights)</w:t>
      </w:r>
    </w:p>
    <w:p>
      <w:pPr>
        <w:spacing w:after="160" w:line="320"/>
        <w:jc w:val="left"/>
      </w:pPr>
      <w:r>
        <w:rPr>
          <w:rFonts w:ascii="Inter" w:cs="Inter" w:eastAsia="Inter" w:hAnsi="Inter"/>
          <w:color w:val="1A1A2E"/>
          <w:sz w:val="22"/>
          <w:szCs w:val="22"/>
        </w:rPr>
        <w:t xml:space="preserve">5% Antiquity Gold (accent details, heritage markers)</w:t>
      </w:r>
    </w:p>
    <w:p>
      <w:r>
        <w:br w:type="page"/>
      </w:r>
    </w:p>
    <w:p>
      <w:pPr>
        <w:pStyle w:val="Heading1"/>
        <w:spacing w:after="200" w:before="400"/>
      </w:pPr>
      <w:r>
        <w:rPr>
          <w:rFonts w:ascii="Georgia" w:cs="Georgia" w:eastAsia="Georgia" w:hAnsi="Georgia"/>
          <w:b/>
          <w:bCs/>
          <w:color w:val="1A1A2E"/>
          <w:sz w:val="36"/>
          <w:szCs w:val="36"/>
        </w:rPr>
        <w:t xml:space="preserve">3. Typography System</w:t>
      </w:r>
    </w:p>
    <w:p>
      <w:pPr>
        <w:pBdr>
          <w:bottom w:val="single" w:color="E94560" w:sz="4" w:space="8"/>
        </w:pBdr>
        <w:spacing w:after="200" w:before="200"/>
      </w:pPr>
    </w:p>
    <w:p>
      <w:pPr>
        <w:pStyle w:val="Heading2"/>
        <w:spacing w:after="150" w:before="300"/>
      </w:pPr>
      <w:r>
        <w:rPr>
          <w:rFonts w:ascii="Georgia" w:cs="Georgia" w:eastAsia="Georgia" w:hAnsi="Georgia"/>
          <w:b/>
          <w:bCs/>
          <w:color w:val="0F3460"/>
          <w:sz w:val="28"/>
          <w:szCs w:val="28"/>
        </w:rPr>
        <w:t xml:space="preserve">3.1 Type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1580"/>
        <w:gridCol w:w="1580"/>
      </w:tblGrid>
      <w:tr>
        <w:tc>
          <w:tcPr>
            <w:tcW w:type="dxa" w:w="200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40"/>
            </w:tcMar>
          </w:tcPr>
          <w:p>
            <w:r>
              <w:rPr>
                <w:rFonts w:ascii="Inter" w:cs="Inter" w:eastAsia="Inter" w:hAnsi="Inter"/>
                <w:b/>
                <w:bCs/>
                <w:color w:val="FFFFFF"/>
                <w:sz w:val="18"/>
                <w:szCs w:val="18"/>
              </w:rPr>
              <w:t xml:space="preserve">Role</w:t>
            </w:r>
          </w:p>
        </w:tc>
        <w:tc>
          <w:tcPr>
            <w:tcW w:type="dxa" w:w="220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40"/>
            </w:tcMar>
          </w:tcPr>
          <w:p>
            <w:r>
              <w:rPr>
                <w:rFonts w:ascii="Inter" w:cs="Inter" w:eastAsia="Inter" w:hAnsi="Inter"/>
                <w:b/>
                <w:bCs/>
                <w:color w:val="FFFFFF"/>
                <w:sz w:val="18"/>
                <w:szCs w:val="18"/>
              </w:rPr>
              <w:t xml:space="preserve">Font</w:t>
            </w:r>
          </w:p>
        </w:tc>
        <w:tc>
          <w:tcPr>
            <w:tcW w:type="dxa" w:w="200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40"/>
            </w:tcMar>
          </w:tcPr>
          <w:p>
            <w:r>
              <w:rPr>
                <w:rFonts w:ascii="Inter" w:cs="Inter" w:eastAsia="Inter" w:hAnsi="Inter"/>
                <w:b/>
                <w:bCs/>
                <w:color w:val="FFFFFF"/>
                <w:sz w:val="18"/>
                <w:szCs w:val="18"/>
              </w:rPr>
              <w:t xml:space="preserve">Weight</w:t>
            </w:r>
          </w:p>
        </w:tc>
        <w:tc>
          <w:tcPr>
            <w:tcW w:type="dxa" w:w="158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40"/>
            </w:tcMar>
          </w:tcPr>
          <w:p>
            <w:r>
              <w:rPr>
                <w:rFonts w:ascii="Inter" w:cs="Inter" w:eastAsia="Inter" w:hAnsi="Inter"/>
                <w:b/>
                <w:bCs/>
                <w:color w:val="FFFFFF"/>
                <w:sz w:val="18"/>
                <w:szCs w:val="18"/>
              </w:rPr>
              <w:t xml:space="preserve">Size</w:t>
            </w:r>
          </w:p>
        </w:tc>
        <w:tc>
          <w:tcPr>
            <w:tcW w:type="dxa" w:w="158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40"/>
            </w:tcMar>
          </w:tcPr>
          <w:p>
            <w:r>
              <w:rPr>
                <w:rFonts w:ascii="Inter" w:cs="Inter" w:eastAsia="Inter" w:hAnsi="Inter"/>
                <w:b/>
                <w:bCs/>
                <w:color w:val="FFFFFF"/>
                <w:sz w:val="18"/>
                <w:szCs w:val="18"/>
              </w:rPr>
              <w:t xml:space="preserve">Tracking</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bCs/>
                <w:color w:val="1A1A2E"/>
                <w:sz w:val="20"/>
                <w:szCs w:val="20"/>
              </w:rPr>
              <w:t xml:space="preserve">Display / H1</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val="false"/>
                <w:bCs w:val="false"/>
                <w:color w:val="1A1A2E"/>
                <w:sz w:val="20"/>
                <w:szCs w:val="20"/>
              </w:rPr>
              <w:t xml:space="preserve">Georgia or Playfair Display</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val="false"/>
                <w:bCs w:val="false"/>
                <w:color w:val="1A1A2E"/>
                <w:sz w:val="20"/>
                <w:szCs w:val="20"/>
              </w:rPr>
              <w:t xml:space="preserve">Bold (700)</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val="false"/>
                <w:bCs w:val="false"/>
                <w:color w:val="1A1A2E"/>
                <w:sz w:val="20"/>
                <w:szCs w:val="20"/>
              </w:rPr>
              <w:t xml:space="preserve">36–48px</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val="false"/>
                <w:bCs w:val="false"/>
                <w:color w:val="1A1A2E"/>
                <w:sz w:val="20"/>
                <w:szCs w:val="20"/>
              </w:rPr>
              <w:t xml:space="preserve">+0.02em</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bCs/>
                <w:color w:val="1A1A2E"/>
                <w:sz w:val="20"/>
                <w:szCs w:val="20"/>
              </w:rPr>
              <w:t xml:space="preserve">Headings / H2-H3</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val="false"/>
                <w:bCs w:val="false"/>
                <w:color w:val="1A1A2E"/>
                <w:sz w:val="20"/>
                <w:szCs w:val="20"/>
              </w:rPr>
              <w:t xml:space="preserve">Georgia or Playfair Display</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val="false"/>
                <w:bCs w:val="false"/>
                <w:color w:val="1A1A2E"/>
                <w:sz w:val="20"/>
                <w:szCs w:val="20"/>
              </w:rPr>
              <w:t xml:space="preserve">SemiBold (600)</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val="false"/>
                <w:bCs w:val="false"/>
                <w:color w:val="1A1A2E"/>
                <w:sz w:val="20"/>
                <w:szCs w:val="20"/>
              </w:rPr>
              <w:t xml:space="preserve">24–32px</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val="false"/>
                <w:bCs w:val="false"/>
                <w:color w:val="1A1A2E"/>
                <w:sz w:val="20"/>
                <w:szCs w:val="20"/>
              </w:rPr>
              <w:t xml:space="preserve">+0.01em</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bCs/>
                <w:color w:val="1A1A2E"/>
                <w:sz w:val="20"/>
                <w:szCs w:val="20"/>
              </w:rPr>
              <w:t xml:space="preserve">Body</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val="false"/>
                <w:bCs w:val="false"/>
                <w:color w:val="1A1A2E"/>
                <w:sz w:val="20"/>
                <w:szCs w:val="20"/>
              </w:rPr>
              <w:t xml:space="preserve">Inter</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val="false"/>
                <w:bCs w:val="false"/>
                <w:color w:val="1A1A2E"/>
                <w:sz w:val="20"/>
                <w:szCs w:val="20"/>
              </w:rPr>
              <w:t xml:space="preserve">Regular (400)</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val="false"/>
                <w:bCs w:val="false"/>
                <w:color w:val="1A1A2E"/>
                <w:sz w:val="20"/>
                <w:szCs w:val="20"/>
              </w:rPr>
              <w:t xml:space="preserve">16–18px</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val="false"/>
                <w:bCs w:val="false"/>
                <w:color w:val="1A1A2E"/>
                <w:sz w:val="20"/>
                <w:szCs w:val="20"/>
              </w:rPr>
              <w:t xml:space="preserve">0</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bCs/>
                <w:color w:val="1A1A2E"/>
                <w:sz w:val="20"/>
                <w:szCs w:val="20"/>
              </w:rPr>
              <w:t xml:space="preserve">UI / Labels</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val="false"/>
                <w:bCs w:val="false"/>
                <w:color w:val="1A1A2E"/>
                <w:sz w:val="20"/>
                <w:szCs w:val="20"/>
              </w:rPr>
              <w:t xml:space="preserve">Inter</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val="false"/>
                <w:bCs w:val="false"/>
                <w:color w:val="1A1A2E"/>
                <w:sz w:val="20"/>
                <w:szCs w:val="20"/>
              </w:rPr>
              <w:t xml:space="preserve">Medium (500)</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val="false"/>
                <w:bCs w:val="false"/>
                <w:color w:val="1A1A2E"/>
                <w:sz w:val="20"/>
                <w:szCs w:val="20"/>
              </w:rPr>
              <w:t xml:space="preserve">13–14px</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val="false"/>
                <w:bCs w:val="false"/>
                <w:color w:val="1A1A2E"/>
                <w:sz w:val="20"/>
                <w:szCs w:val="20"/>
              </w:rPr>
              <w:t xml:space="preserve">+0.04em</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bCs/>
                <w:color w:val="1A1A2E"/>
                <w:sz w:val="20"/>
                <w:szCs w:val="20"/>
              </w:rPr>
              <w:t xml:space="preserve">Code / Technical</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val="false"/>
                <w:bCs w:val="false"/>
                <w:color w:val="1A1A2E"/>
                <w:sz w:val="20"/>
                <w:szCs w:val="20"/>
              </w:rPr>
              <w:t xml:space="preserve">JetBrains Mono</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val="false"/>
                <w:bCs w:val="false"/>
                <w:color w:val="1A1A2E"/>
                <w:sz w:val="20"/>
                <w:szCs w:val="20"/>
              </w:rPr>
              <w:t xml:space="preserve">Regular (400)</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val="false"/>
                <w:bCs w:val="false"/>
                <w:color w:val="1A1A2E"/>
                <w:sz w:val="20"/>
                <w:szCs w:val="20"/>
              </w:rPr>
              <w:t xml:space="preserve">14–15px</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val="false"/>
                <w:bCs w:val="false"/>
                <w:color w:val="1A1A2E"/>
                <w:sz w:val="20"/>
                <w:szCs w:val="20"/>
              </w:rPr>
              <w:t xml:space="preserve">0</w:t>
            </w:r>
          </w:p>
        </w:tc>
      </w:tr>
      <w:tr>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bCs/>
                <w:color w:val="1A1A2E"/>
                <w:sz w:val="20"/>
                <w:szCs w:val="20"/>
              </w:rPr>
              <w:t xml:space="preserve">Greek Accent</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val="false"/>
                <w:bCs w:val="false"/>
                <w:color w:val="1A1A2E"/>
                <w:sz w:val="20"/>
                <w:szCs w:val="20"/>
              </w:rPr>
              <w:t xml:space="preserve">Noto Serif</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val="false"/>
                <w:bCs w:val="false"/>
                <w:color w:val="1A1A2E"/>
                <w:sz w:val="20"/>
                <w:szCs w:val="20"/>
              </w:rPr>
              <w:t xml:space="preserve">Regular (400)</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val="false"/>
                <w:bCs w:val="false"/>
                <w:color w:val="1A1A2E"/>
                <w:sz w:val="20"/>
                <w:szCs w:val="20"/>
              </w:rPr>
              <w:t xml:space="preserve">Varies</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Inter" w:cs="Inter" w:eastAsia="Inter" w:hAnsi="Inter"/>
                <w:b w:val="false"/>
                <w:bCs w:val="false"/>
                <w:color w:val="1A1A2E"/>
                <w:sz w:val="20"/>
                <w:szCs w:val="20"/>
              </w:rPr>
              <w:t xml:space="preserve">+0.06em</w:t>
            </w:r>
          </w:p>
        </w:tc>
      </w:tr>
    </w:tbl>
    <w:p>
      <w:pPr>
        <w:spacing w:after="0" w:before="200"/>
      </w:pPr>
    </w:p>
    <w:p>
      <w:pPr>
        <w:pStyle w:val="Heading2"/>
        <w:spacing w:after="150" w:before="300"/>
      </w:pPr>
      <w:r>
        <w:rPr>
          <w:rFonts w:ascii="Georgia" w:cs="Georgia" w:eastAsia="Georgia" w:hAnsi="Georgia"/>
          <w:b/>
          <w:bCs/>
          <w:color w:val="0F3460"/>
          <w:sz w:val="28"/>
          <w:szCs w:val="28"/>
        </w:rPr>
        <w:t xml:space="preserve">3.2 Typography Rationale</w:t>
      </w:r>
    </w:p>
    <w:p>
      <w:pPr>
        <w:spacing w:after="160" w:line="320"/>
        <w:jc w:val="left"/>
      </w:pPr>
      <w:r>
        <w:rPr>
          <w:rFonts w:ascii="Inter" w:cs="Inter" w:eastAsia="Inter" w:hAnsi="Inter"/>
          <w:color w:val="1A1A2E"/>
          <w:sz w:val="22"/>
          <w:szCs w:val="22"/>
        </w:rPr>
        <w:t xml:space="preserve">The serif/sans-serif pairing (Georgia + Inter) creates tension between the mythological and the modern. Georgia carries the weight of antiquity — it’s the font you’d use to inscribe something permanent. Inter is the workhorse of modern UI. Together they say: “ancient intelligence, modern execution.”</w:t>
      </w:r>
    </w:p>
    <w:p>
      <w:pPr>
        <w:spacing w:after="160" w:line="320"/>
        <w:jc w:val="left"/>
      </w:pPr>
      <w:r>
        <w:rPr>
          <w:rFonts w:ascii="Inter" w:cs="Inter" w:eastAsia="Inter" w:hAnsi="Inter"/>
          <w:color w:val="1A1A2E"/>
          <w:sz w:val="22"/>
          <w:szCs w:val="22"/>
        </w:rPr>
        <w:t xml:space="preserve">JetBrains Mono for code and technical content signals developer-first credibility. Noto Serif provides clean Greek character rendering for the ΔΟΛΙΟΣ accent mark.</w:t>
      </w:r>
    </w:p>
    <w:p>
      <w:pPr>
        <w:spacing w:after="0" w:before="100"/>
      </w:pPr>
    </w:p>
    <w:p>
      <w:pPr>
        <w:pStyle w:val="Heading2"/>
        <w:spacing w:after="150" w:before="300"/>
      </w:pPr>
      <w:r>
        <w:rPr>
          <w:rFonts w:ascii="Georgia" w:cs="Georgia" w:eastAsia="Georgia" w:hAnsi="Georgia"/>
          <w:b/>
          <w:bCs/>
          <w:color w:val="0F3460"/>
          <w:sz w:val="28"/>
          <w:szCs w:val="28"/>
        </w:rPr>
        <w:t xml:space="preserve">3.3 Fallback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22"/>
                <w:szCs w:val="22"/>
              </w:rPr>
              <w:t xml:space="preserve">Display</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2"/>
                <w:szCs w:val="22"/>
              </w:rPr>
              <w:t xml:space="preserve">Playfair Display → Georgia → Times New Roman → serif</w:t>
            </w:r>
          </w:p>
        </w:tc>
      </w:tr>
      <w:tr>
        <w:tc>
          <w:tcPr>
            <w:tcW w:type="dxa" w:w="32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22"/>
                <w:szCs w:val="22"/>
              </w:rPr>
              <w:t xml:space="preserve">Body</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2"/>
                <w:szCs w:val="22"/>
              </w:rPr>
              <w:t xml:space="preserve">Inter → -apple-system → Segoe UI → sans-serif</w:t>
            </w:r>
          </w:p>
        </w:tc>
      </w:tr>
      <w:tr>
        <w:tc>
          <w:tcPr>
            <w:tcW w:type="dxa" w:w="32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22"/>
                <w:szCs w:val="22"/>
              </w:rPr>
              <w:t xml:space="preserve">Mono</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2"/>
                <w:szCs w:val="22"/>
              </w:rPr>
              <w:t xml:space="preserve">JetBrains Mono → Fira Code → Consolas → monospace</w:t>
            </w:r>
          </w:p>
        </w:tc>
      </w:tr>
    </w:tbl>
    <w:p>
      <w:pPr>
        <w:sectPr>
          <w:headerReference w:type="default" r:id="rId9"/>
          <w:footerReference w:type="default" r:id="rId10"/>
          <w:pgSz w:w="12240" w:h="15840" w:orient="portrait"/>
          <w:pgMar w:top="1440" w:right="1440" w:bottom="1440" w:left="1440" w:header="708" w:footer="708" w:gutter="0"/>
          <w:pgNumType/>
          <w:docGrid w:linePitch="360"/>
        </w:sectPr>
      </w:pPr>
    </w:p>
    <w:p>
      <w:pPr>
        <w:pStyle w:val="Heading1"/>
        <w:spacing w:after="200" w:before="400"/>
      </w:pPr>
      <w:r>
        <w:rPr>
          <w:rFonts w:ascii="Georgia" w:cs="Georgia" w:eastAsia="Georgia" w:hAnsi="Georgia"/>
          <w:b/>
          <w:bCs/>
          <w:color w:val="1A1A2E"/>
          <w:sz w:val="36"/>
          <w:szCs w:val="36"/>
        </w:rPr>
        <w:t xml:space="preserve">4. Logo System</w:t>
      </w:r>
    </w:p>
    <w:p>
      <w:pPr>
        <w:pBdr>
          <w:bottom w:val="single" w:color="E94560" w:sz="4" w:space="8"/>
        </w:pBdr>
        <w:spacing w:after="200" w:before="200"/>
      </w:pPr>
    </w:p>
    <w:p>
      <w:pPr>
        <w:spacing w:after="160" w:line="320"/>
        <w:jc w:val="left"/>
      </w:pPr>
      <w:r>
        <w:rPr>
          <w:rFonts w:ascii="Inter" w:cs="Inter" w:eastAsia="Inter" w:hAnsi="Inter"/>
          <w:color w:val="1A1A2E"/>
          <w:sz w:val="22"/>
          <w:szCs w:val="22"/>
        </w:rPr>
        <w:t xml:space="preserve">The Dolios logo system includes three variants: a primary wordmark, a lettermark for compact use, and a pictorial mark (icon) for favicons and app icons.</w:t>
      </w:r>
    </w:p>
    <w:p>
      <w:pPr>
        <w:pStyle w:val="Heading2"/>
        <w:spacing w:after="150" w:before="300"/>
      </w:pPr>
      <w:r>
        <w:rPr>
          <w:rFonts w:ascii="Georgia" w:cs="Georgia" w:eastAsia="Georgia" w:hAnsi="Georgia"/>
          <w:b/>
          <w:bCs/>
          <w:color w:val="0F3460"/>
          <w:sz w:val="28"/>
          <w:szCs w:val="28"/>
        </w:rPr>
        <w:t xml:space="preserve">4.1 Primary Wordmark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22"/>
                <w:szCs w:val="22"/>
              </w:rPr>
              <w:t xml:space="preserve">Concept</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2"/>
                <w:szCs w:val="22"/>
              </w:rPr>
              <w:t xml:space="preserve">The word “DOLIOS” set in a custom serif with the “O” modified to incorporate a subtle labyrinth/maze motif — referencing Dolios’ cunning nature and the agent’s path-planning capability.</w:t>
            </w:r>
          </w:p>
        </w:tc>
      </w:tr>
      <w:tr>
        <w:tc>
          <w:tcPr>
            <w:tcW w:type="dxa" w:w="32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22"/>
                <w:szCs w:val="22"/>
              </w:rPr>
              <w:t xml:space="preserve">Typeface Base</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2"/>
                <w:szCs w:val="22"/>
              </w:rPr>
              <w:t xml:space="preserve">Playfair Display Bold, customized. The serifs on D and S are sharpened to angular points, evoking Greek inscription letterforms.</w:t>
            </w:r>
          </w:p>
        </w:tc>
      </w:tr>
      <w:tr>
        <w:tc>
          <w:tcPr>
            <w:tcW w:type="dxa" w:w="32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22"/>
                <w:szCs w:val="22"/>
              </w:rPr>
              <w:t xml:space="preserve">Color</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2"/>
                <w:szCs w:val="22"/>
              </w:rPr>
              <w:t xml:space="preserve">Deep Midnight (#1A1A2E) on light backgrounds. White (#FFFFFF) on dark backgrounds.</w:t>
            </w:r>
          </w:p>
        </w:tc>
      </w:tr>
      <w:tr>
        <w:tc>
          <w:tcPr>
            <w:tcW w:type="dxa" w:w="32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22"/>
                <w:szCs w:val="22"/>
              </w:rPr>
              <w:t xml:space="preserve">Accent Detail</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2"/>
                <w:szCs w:val="22"/>
              </w:rPr>
              <w:t xml:space="preserve">A single hairline in Signal Red (#E94560) runs through the crossbar area of the “O”, suggesting a path being executed — the agent in action.</w:t>
            </w:r>
          </w:p>
        </w:tc>
      </w:tr>
      <w:tr>
        <w:tc>
          <w:tcPr>
            <w:tcW w:type="dxa" w:w="32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22"/>
                <w:szCs w:val="22"/>
              </w:rPr>
              <w:t xml:space="preserve">Clear Space</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2"/>
                <w:szCs w:val="22"/>
              </w:rPr>
              <w:t xml:space="preserve">Minimum clear space = height of the capital “D” on all sides.</w:t>
            </w:r>
          </w:p>
        </w:tc>
      </w:tr>
      <w:tr>
        <w:tc>
          <w:tcPr>
            <w:tcW w:type="dxa" w:w="32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22"/>
                <w:szCs w:val="22"/>
              </w:rPr>
              <w:t xml:space="preserve">Minimum Size</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2"/>
                <w:szCs w:val="22"/>
              </w:rPr>
              <w:t xml:space="preserve">120px wide for digital, 30mm for print.</w:t>
            </w:r>
          </w:p>
        </w:tc>
      </w:tr>
    </w:tbl>
    <w:p>
      <w:pPr>
        <w:spacing w:after="0" w:before="200"/>
      </w:pPr>
    </w:p>
    <w:p>
      <w:pPr>
        <w:pStyle w:val="Heading2"/>
        <w:spacing w:after="150" w:before="300"/>
      </w:pPr>
      <w:r>
        <w:rPr>
          <w:rFonts w:ascii="Georgia" w:cs="Georgia" w:eastAsia="Georgia" w:hAnsi="Georgia"/>
          <w:b/>
          <w:bCs/>
          <w:color w:val="0F3460"/>
          <w:sz w:val="28"/>
          <w:szCs w:val="28"/>
        </w:rPr>
        <w:t xml:space="preserve">4.2 Lettermark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22"/>
                <w:szCs w:val="22"/>
              </w:rPr>
              <w:t xml:space="preserve">Concept</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2"/>
                <w:szCs w:val="22"/>
              </w:rPr>
              <w:t xml:space="preserve">A geometric “D” constructed from two overlapping shapes: a half-circle (representing the agent’s scope of action) and an angular arrow emerging from its center (representing execution/direction).</w:t>
            </w:r>
          </w:p>
        </w:tc>
      </w:tr>
      <w:tr>
        <w:tc>
          <w:tcPr>
            <w:tcW w:type="dxa" w:w="32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22"/>
                <w:szCs w:val="22"/>
              </w:rPr>
              <w:t xml:space="preserve">Construction</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2"/>
                <w:szCs w:val="22"/>
              </w:rPr>
              <w:t xml:space="preserve">Built on a 64x64 grid. The half-circle uses Deep Midnight. The arrow uses Signal Red. The overlap creates a dark blend zone.</w:t>
            </w:r>
          </w:p>
        </w:tc>
      </w:tr>
      <w:tr>
        <w:tc>
          <w:tcPr>
            <w:tcW w:type="dxa" w:w="32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22"/>
                <w:szCs w:val="22"/>
              </w:rPr>
              <w:t xml:space="preserve">Usage</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2"/>
                <w:szCs w:val="22"/>
              </w:rPr>
              <w:t xml:space="preserve">Favicons, app icons, social avatars, loading states. Works at 16x16px minimum.</w:t>
            </w:r>
          </w:p>
        </w:tc>
      </w:tr>
      <w:tr>
        <w:tc>
          <w:tcPr>
            <w:tcW w:type="dxa" w:w="32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22"/>
                <w:szCs w:val="22"/>
              </w:rPr>
              <w:t xml:space="preserve">Variants</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2"/>
                <w:szCs w:val="22"/>
              </w:rPr>
              <w:t xml:space="preserve">Full color (dark bg), full color (light bg), monochrome white, monochrome black.</w:t>
            </w:r>
          </w:p>
        </w:tc>
      </w:tr>
    </w:tbl>
    <w:p>
      <w:pPr>
        <w:spacing w:after="0" w:before="200"/>
      </w:pPr>
    </w:p>
    <w:p>
      <w:pPr>
        <w:pStyle w:val="Heading2"/>
        <w:spacing w:after="150" w:before="300"/>
      </w:pPr>
      <w:r>
        <w:rPr>
          <w:rFonts w:ascii="Georgia" w:cs="Georgia" w:eastAsia="Georgia" w:hAnsi="Georgia"/>
          <w:b/>
          <w:bCs/>
          <w:color w:val="0F3460"/>
          <w:sz w:val="28"/>
          <w:szCs w:val="28"/>
        </w:rPr>
        <w:t xml:space="preserve">4.3 Pictorial Mark (Icon)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22"/>
                <w:szCs w:val="22"/>
              </w:rPr>
              <w:t xml:space="preserve">Concept</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2"/>
                <w:szCs w:val="22"/>
              </w:rPr>
              <w:t xml:space="preserve">A stylized Greek delta (Δ) with the interior containing a minimal circuit/node pattern — three dots connected by lines, representing the agent’s tool orchestration graph.</w:t>
            </w:r>
          </w:p>
        </w:tc>
      </w:tr>
      <w:tr>
        <w:tc>
          <w:tcPr>
            <w:tcW w:type="dxa" w:w="32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22"/>
                <w:szCs w:val="22"/>
              </w:rPr>
              <w:t xml:space="preserve">Symbolism</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2"/>
                <w:szCs w:val="22"/>
              </w:rPr>
              <w:t xml:space="preserve">Δ = Delta = Change/Transformation. The internal graph = tool calls and API connections. Together: “intelligent transformation through connected action.”</w:t>
            </w:r>
          </w:p>
        </w:tc>
      </w:tr>
      <w:tr>
        <w:tc>
          <w:tcPr>
            <w:tcW w:type="dxa" w:w="32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22"/>
                <w:szCs w:val="22"/>
              </w:rPr>
              <w:t xml:space="preserve">Color</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2"/>
                <w:szCs w:val="22"/>
              </w:rPr>
              <w:t xml:space="preserve">Triangle outline in Deep Midnight. Internal nodes in Signal Red. Connection lines in Strategy Blue.</w:t>
            </w:r>
          </w:p>
        </w:tc>
      </w:tr>
      <w:tr>
        <w:tc>
          <w:tcPr>
            <w:tcW w:type="dxa" w:w="3200"/>
            <w:tcBorders>
              <w:top w:val="single" w:color="E5E7EB" w:sz="1"/>
              <w:left w:val="single" w:color="E5E7EB" w:sz="1"/>
              <w:bottom w:val="single" w:color="E5E7EB" w:sz="1"/>
              <w:right w:val="single" w:color="E5E7EB" w:sz="1"/>
            </w:tcBorders>
            <w:shd w:fill="F5F5F7" w:val="clear"/>
            <w:tcMar>
              <w:top w:type="dxa" w:w="100"/>
              <w:left w:type="dxa" w:w="140"/>
              <w:bottom w:type="dxa" w:w="100"/>
              <w:right w:type="dxa" w:w="140"/>
            </w:tcMar>
          </w:tcPr>
          <w:p>
            <w:r>
              <w:rPr>
                <w:rFonts w:ascii="Inter" w:cs="Inter" w:eastAsia="Inter" w:hAnsi="Inter"/>
                <w:b/>
                <w:bCs/>
                <w:color w:val="1A1A2E"/>
                <w:sz w:val="22"/>
                <w:szCs w:val="22"/>
              </w:rPr>
              <w:t xml:space="preserve">Animation Note</w:t>
            </w:r>
          </w:p>
        </w:tc>
        <w:tc>
          <w:tcPr>
            <w:tcW w:type="dxa" w:w="616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2"/>
                <w:szCs w:val="22"/>
              </w:rPr>
              <w:t xml:space="preserve">For animated contexts (loading, splash screens), the nodes pulse sequentially — mimicking an agent executing steps in order.</w:t>
            </w:r>
          </w:p>
        </w:tc>
      </w:tr>
    </w:tbl>
    <w:p>
      <w:r>
        <w:br w:type="page"/>
      </w:r>
    </w:p>
    <w:p>
      <w:pPr>
        <w:pStyle w:val="Heading1"/>
        <w:spacing w:after="200" w:before="400"/>
      </w:pPr>
      <w:r>
        <w:rPr>
          <w:rFonts w:ascii="Georgia" w:cs="Georgia" w:eastAsia="Georgia" w:hAnsi="Georgia"/>
          <w:b/>
          <w:bCs/>
          <w:color w:val="1A1A2E"/>
          <w:sz w:val="36"/>
          <w:szCs w:val="36"/>
        </w:rPr>
        <w:t xml:space="preserve">5. Image Generation Prompts</w:t>
      </w:r>
    </w:p>
    <w:p>
      <w:pPr>
        <w:pBdr>
          <w:bottom w:val="single" w:color="E94560" w:sz="4" w:space="8"/>
        </w:pBdr>
        <w:spacing w:after="200" w:before="200"/>
      </w:pPr>
    </w:p>
    <w:p>
      <w:pPr>
        <w:spacing w:after="160" w:line="320"/>
        <w:jc w:val="left"/>
      </w:pPr>
      <w:r>
        <w:rPr>
          <w:rFonts w:ascii="Inter" w:cs="Inter" w:eastAsia="Inter" w:hAnsi="Inter"/>
          <w:color w:val="1A1A2E"/>
          <w:sz w:val="22"/>
          <w:szCs w:val="22"/>
        </w:rPr>
        <w:t xml:space="preserve">The following prompts are formatted for direct use with image generation models (Midjourney, DALL-E, Stable Diffusion, Ideogram). They can also serve as briefs for a human designer.</w:t>
      </w:r>
    </w:p>
    <w:p>
      <w:pPr>
        <w:spacing w:after="0" w:before="100"/>
      </w:pPr>
    </w:p>
    <w:p>
      <w:pPr>
        <w:pStyle w:val="Heading2"/>
        <w:spacing w:after="150" w:before="300"/>
      </w:pPr>
      <w:r>
        <w:rPr>
          <w:rFonts w:ascii="Georgia" w:cs="Georgia" w:eastAsia="Georgia" w:hAnsi="Georgia"/>
          <w:b/>
          <w:bCs/>
          <w:color w:val="0F3460"/>
          <w:sz w:val="28"/>
          <w:szCs w:val="28"/>
        </w:rPr>
        <w:t xml:space="preserve">5.1 Wordmark Generation Prompt</w:t>
      </w:r>
    </w:p>
    <w:p>
      <w:pPr>
        <w:pBdr>
          <w:left w:val="single" w:color="E94560" w:sz="8" w:space="8"/>
        </w:pBdr>
        <w:shd w:fill="F0F0F4" w:val="clear"/>
        <w:spacing w:after="200"/>
      </w:pPr>
      <w:r>
        <w:rPr>
          <w:rFonts w:ascii="JetBrains Mono" w:cs="JetBrains Mono" w:eastAsia="JetBrains Mono" w:hAnsi="JetBrains Mono"/>
          <w:color w:val="0F3460"/>
          <w:sz w:val="19"/>
          <w:szCs w:val="19"/>
        </w:rPr>
        <w:t xml:space="preserve">A minimal, elegant wordmark logo for a tech company called “DOLIOS”. Custom serif typography inspired by Greek stone inscriptions, with sharpened angular serifs on the D and S. The letter O contains a subtle geometric labyrinth pattern. A single thin red line (#E94560) traces a path through the O, suggesting execution and direction. Set on a pure white background. The overall color is deep midnight navy (#1A1A2E). Clean vector style, no gradients, no 3D effects. Professional logo design, brand identity, ultra minimal.</w:t>
      </w:r>
    </w:p>
    <w:p>
      <w:pPr>
        <w:pStyle w:val="Heading2"/>
        <w:spacing w:after="150" w:before="300"/>
      </w:pPr>
      <w:r>
        <w:rPr>
          <w:rFonts w:ascii="Georgia" w:cs="Georgia" w:eastAsia="Georgia" w:hAnsi="Georgia"/>
          <w:b/>
          <w:bCs/>
          <w:color w:val="0F3460"/>
          <w:sz w:val="28"/>
          <w:szCs w:val="28"/>
        </w:rPr>
        <w:t xml:space="preserve">5.2 Lettermark Generation Prompt</w:t>
      </w:r>
    </w:p>
    <w:p>
      <w:pPr>
        <w:pBdr>
          <w:left w:val="single" w:color="E94560" w:sz="8" w:space="8"/>
        </w:pBdr>
        <w:shd w:fill="F0F0F4" w:val="clear"/>
        <w:spacing w:after="200"/>
      </w:pPr>
      <w:r>
        <w:rPr>
          <w:rFonts w:ascii="JetBrains Mono" w:cs="JetBrains Mono" w:eastAsia="JetBrains Mono" w:hAnsi="JetBrains Mono"/>
          <w:color w:val="0F3460"/>
          <w:sz w:val="19"/>
          <w:szCs w:val="19"/>
        </w:rPr>
        <w:t xml:space="preserve">A geometric lettermark logo of the letter D for a tech AI company. The D is constructed from a clean half-circle in deep navy (#1A1A2E) with a sharp angular arrow in red (#E94560) emerging from the center, pointing right, representing forward execution. Designed on a precise grid. Minimal, flat design, suitable for favicon and app icon use. Pure white background. No text, no gradients. Vector logo, brand identity.</w:t>
      </w:r>
    </w:p>
    <w:p>
      <w:pPr>
        <w:pStyle w:val="Heading2"/>
        <w:spacing w:after="150" w:before="300"/>
      </w:pPr>
      <w:r>
        <w:rPr>
          <w:rFonts w:ascii="Georgia" w:cs="Georgia" w:eastAsia="Georgia" w:hAnsi="Georgia"/>
          <w:b/>
          <w:bCs/>
          <w:color w:val="0F3460"/>
          <w:sz w:val="28"/>
          <w:szCs w:val="28"/>
        </w:rPr>
        <w:t xml:space="preserve">5.3 Icon/Pictorial Mark Generation Prompt</w:t>
      </w:r>
    </w:p>
    <w:p>
      <w:pPr>
        <w:pBdr>
          <w:left w:val="single" w:color="E94560" w:sz="8" w:space="8"/>
        </w:pBdr>
        <w:shd w:fill="F0F0F4" w:val="clear"/>
        <w:spacing w:after="200"/>
      </w:pPr>
      <w:r>
        <w:rPr>
          <w:rFonts w:ascii="JetBrains Mono" w:cs="JetBrains Mono" w:eastAsia="JetBrains Mono" w:hAnsi="JetBrains Mono"/>
          <w:color w:val="0F3460"/>
          <w:sz w:val="19"/>
          <w:szCs w:val="19"/>
        </w:rPr>
        <w:t xml:space="preserve">A minimal icon logo: a stylized Greek delta triangle (Δ) in deep navy (#1A1A2E). Inside the triangle, three small circular nodes in red (#E94560) are connected by thin blue lines (#0F3460), forming a simple graph/network pattern. The triangle has clean geometric edges. White background. Flat vector design, no gradients, no shadows. Suitable as a tech company app icon. Brand identity, minimal logo.</w:t>
      </w:r>
    </w:p>
    <w:p>
      <w:pPr>
        <w:pStyle w:val="Heading2"/>
        <w:spacing w:after="150" w:before="300"/>
      </w:pPr>
      <w:r>
        <w:rPr>
          <w:rFonts w:ascii="Georgia" w:cs="Georgia" w:eastAsia="Georgia" w:hAnsi="Georgia"/>
          <w:b/>
          <w:bCs/>
          <w:color w:val="0F3460"/>
          <w:sz w:val="28"/>
          <w:szCs w:val="28"/>
        </w:rPr>
        <w:t xml:space="preserve">5.4 Full Brand Lockup Prompt</w:t>
      </w:r>
    </w:p>
    <w:p>
      <w:pPr>
        <w:pBdr>
          <w:left w:val="single" w:color="E94560" w:sz="8" w:space="8"/>
        </w:pBdr>
        <w:shd w:fill="F0F0F4" w:val="clear"/>
        <w:spacing w:after="200"/>
      </w:pPr>
      <w:r>
        <w:rPr>
          <w:rFonts w:ascii="JetBrains Mono" w:cs="JetBrains Mono" w:eastAsia="JetBrains Mono" w:hAnsi="JetBrains Mono"/>
          <w:color w:val="0F3460"/>
          <w:sz w:val="19"/>
          <w:szCs w:val="19"/>
        </w:rPr>
        <w:t xml:space="preserve">A complete brand lockup: on the left, a stylized Greek delta (Δ) icon with internal node-graph pattern in navy and red. To the right, the wordmark “DOLIOS” in elegant custom serif typography, deep navy color (#1A1A2E). Below the wordmark in small, widely-spaced uppercase letters: “THE CRAFTY AGENT” in gray (#6B7280). Clean white background. Professional brand identity presentation, minimal vector design.</w:t>
      </w:r>
    </w:p>
    <w:p>
      <w:pPr>
        <w:sectPr>
          <w:headerReference w:type="default" r:id="rId11"/>
          <w:footerReference w:type="default" r:id="rId12"/>
          <w:pgSz w:w="12240" w:h="15840" w:orient="portrait"/>
          <w:pgMar w:top="1440" w:right="1440" w:bottom="1440" w:left="1440" w:header="708" w:footer="708" w:gutter="0"/>
          <w:pgNumType/>
          <w:docGrid w:linePitch="360"/>
        </w:sectPr>
      </w:pPr>
    </w:p>
    <w:p>
      <w:pPr>
        <w:pStyle w:val="Heading1"/>
        <w:spacing w:after="200" w:before="400"/>
      </w:pPr>
      <w:r>
        <w:rPr>
          <w:rFonts w:ascii="Georgia" w:cs="Georgia" w:eastAsia="Georgia" w:hAnsi="Georgia"/>
          <w:b/>
          <w:bCs/>
          <w:color w:val="1A1A2E"/>
          <w:sz w:val="36"/>
          <w:szCs w:val="36"/>
        </w:rPr>
        <w:t xml:space="preserve">6. Brand Voice</w:t>
      </w:r>
    </w:p>
    <w:p>
      <w:pPr>
        <w:pBdr>
          <w:bottom w:val="single" w:color="E94560" w:sz="4" w:space="8"/>
        </w:pBdr>
        <w:spacing w:after="200" w:before="200"/>
      </w:pPr>
    </w:p>
    <w:p>
      <w:pPr>
        <w:pStyle w:val="Heading2"/>
        <w:spacing w:after="150" w:before="300"/>
      </w:pPr>
      <w:r>
        <w:rPr>
          <w:rFonts w:ascii="Georgia" w:cs="Georgia" w:eastAsia="Georgia" w:hAnsi="Georgia"/>
          <w:b/>
          <w:bCs/>
          <w:color w:val="0F3460"/>
          <w:sz w:val="28"/>
          <w:szCs w:val="28"/>
        </w:rPr>
        <w:t xml:space="preserve">6.1 Voice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40"/>
            </w:tcMar>
          </w:tcPr>
          <w:p>
            <w:r>
              <w:rPr>
                <w:rFonts w:ascii="Inter" w:cs="Inter" w:eastAsia="Inter" w:hAnsi="Inter"/>
                <w:b/>
                <w:bCs/>
                <w:color w:val="FFFFFF"/>
                <w:sz w:val="18"/>
                <w:szCs w:val="18"/>
              </w:rPr>
              <w:t xml:space="preserve">Attribute</w:t>
            </w:r>
          </w:p>
        </w:tc>
        <w:tc>
          <w:tcPr>
            <w:tcW w:type="dxa" w:w="348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40"/>
            </w:tcMar>
          </w:tcPr>
          <w:p>
            <w:r>
              <w:rPr>
                <w:rFonts w:ascii="Inter" w:cs="Inter" w:eastAsia="Inter" w:hAnsi="Inter"/>
                <w:b/>
                <w:bCs/>
                <w:color w:val="FFFFFF"/>
                <w:sz w:val="18"/>
                <w:szCs w:val="18"/>
              </w:rPr>
              <w:t xml:space="preserve">What It Means</w:t>
            </w:r>
          </w:p>
        </w:tc>
        <w:tc>
          <w:tcPr>
            <w:tcW w:type="dxa" w:w="348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40"/>
            </w:tcMar>
          </w:tcPr>
          <w:p>
            <w:r>
              <w:rPr>
                <w:rFonts w:ascii="Inter" w:cs="Inter" w:eastAsia="Inter" w:hAnsi="Inter"/>
                <w:b/>
                <w:bCs/>
                <w:color w:val="FFFFFF"/>
                <w:sz w:val="18"/>
                <w:szCs w:val="18"/>
              </w:rPr>
              <w:t xml:space="preserve">Example</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b/>
                <w:bCs/>
                <w:color w:val="1A1A2E"/>
                <w:sz w:val="20"/>
                <w:szCs w:val="20"/>
              </w:rPr>
              <w:t xml:space="preserve">Cunning</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b w:val="false"/>
                <w:bCs w:val="false"/>
                <w:color w:val="1A1A2E"/>
                <w:sz w:val="20"/>
                <w:szCs w:val="20"/>
              </w:rPr>
              <w:t xml:space="preserve">Smart without being smug. Show the plan, not just the result.</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b w:val="false"/>
                <w:bCs w:val="false"/>
                <w:color w:val="1A1A2E"/>
                <w:sz w:val="20"/>
                <w:szCs w:val="20"/>
              </w:rPr>
              <w:t xml:space="preserve">“Dolios mapped 4 tools, found the shortest path, and executed in 1.2s.”</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b/>
                <w:bCs/>
                <w:color w:val="1A1A2E"/>
                <w:sz w:val="20"/>
                <w:szCs w:val="20"/>
              </w:rPr>
              <w:t xml:space="preserve">Precise</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b w:val="false"/>
                <w:bCs w:val="false"/>
                <w:color w:val="1A1A2E"/>
                <w:sz w:val="20"/>
                <w:szCs w:val="20"/>
              </w:rPr>
              <w:t xml:space="preserve">No filler. Every word earns its place.</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b w:val="false"/>
                <w:bCs w:val="false"/>
                <w:color w:val="1A1A2E"/>
                <w:sz w:val="20"/>
                <w:szCs w:val="20"/>
              </w:rPr>
              <w:t xml:space="preserve">“3 API calls. 0 retries. Task complete.”</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b/>
                <w:bCs/>
                <w:color w:val="1A1A2E"/>
                <w:sz w:val="20"/>
                <w:szCs w:val="20"/>
              </w:rPr>
              <w:t xml:space="preserve">Grounded</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b w:val="false"/>
                <w:bCs w:val="false"/>
                <w:color w:val="1A1A2E"/>
                <w:sz w:val="20"/>
                <w:szCs w:val="20"/>
              </w:rPr>
              <w:t xml:space="preserve">Mythological references used sparingly, never forced.</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b w:val="false"/>
                <w:bCs w:val="false"/>
                <w:color w:val="1A1A2E"/>
                <w:sz w:val="20"/>
                <w:szCs w:val="20"/>
              </w:rPr>
              <w:t xml:space="preserve">“Built on Hermes’ lineage. Designed for autonomous action.”</w:t>
            </w:r>
          </w:p>
        </w:tc>
      </w:tr>
      <w:tr>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b/>
                <w:bCs/>
                <w:color w:val="1A1A2E"/>
                <w:sz w:val="20"/>
                <w:szCs w:val="20"/>
              </w:rPr>
              <w:t xml:space="preserve">Technical</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b w:val="false"/>
                <w:bCs w:val="false"/>
                <w:color w:val="1A1A2E"/>
                <w:sz w:val="20"/>
                <w:szCs w:val="20"/>
              </w:rPr>
              <w:t xml:space="preserve">Developer-first language. Don’t dumb it down.</w:t>
            </w:r>
          </w:p>
        </w:tc>
        <w:tc>
          <w:tcPr>
            <w:tcW w:type="dxa" w:w="34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b w:val="false"/>
                <w:bCs w:val="false"/>
                <w:color w:val="1A1A2E"/>
                <w:sz w:val="20"/>
                <w:szCs w:val="20"/>
              </w:rPr>
              <w:t xml:space="preserve">“Native MCP support with configurable tool orchestration.”</w:t>
            </w:r>
          </w:p>
        </w:tc>
      </w:tr>
    </w:tbl>
    <w:p>
      <w:pPr>
        <w:spacing w:after="0" w:before="200"/>
      </w:pPr>
    </w:p>
    <w:p>
      <w:pPr>
        <w:pStyle w:val="Heading2"/>
        <w:spacing w:after="150" w:before="300"/>
      </w:pPr>
      <w:r>
        <w:rPr>
          <w:rFonts w:ascii="Georgia" w:cs="Georgia" w:eastAsia="Georgia" w:hAnsi="Georgia"/>
          <w:b/>
          <w:bCs/>
          <w:color w:val="0F3460"/>
          <w:sz w:val="28"/>
          <w:szCs w:val="28"/>
        </w:rPr>
        <w:t xml:space="preserve">6.2 Tagline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40"/>
            </w:tcMar>
          </w:tcPr>
          <w:p>
            <w:r>
              <w:rPr>
                <w:rFonts w:ascii="Inter" w:cs="Inter" w:eastAsia="Inter" w:hAnsi="Inter"/>
                <w:b/>
                <w:bCs/>
                <w:color w:val="FFFFFF"/>
                <w:sz w:val="18"/>
                <w:szCs w:val="18"/>
              </w:rPr>
              <w:t xml:space="preserve">Tagline</w:t>
            </w:r>
          </w:p>
        </w:tc>
        <w:tc>
          <w:tcPr>
            <w:tcW w:type="dxa" w:w="4680"/>
            <w:tcBorders>
              <w:top w:val="single" w:color="E5E7EB" w:sz="1"/>
              <w:left w:val="single" w:color="E5E7EB" w:sz="1"/>
              <w:bottom w:val="single" w:color="E5E7EB" w:sz="1"/>
              <w:right w:val="single" w:color="E5E7EB" w:sz="1"/>
            </w:tcBorders>
            <w:shd w:fill="1A1A2E" w:val="clear"/>
            <w:tcMar>
              <w:top w:type="dxa" w:w="100"/>
              <w:left w:type="dxa" w:w="140"/>
              <w:bottom w:type="dxa" w:w="100"/>
              <w:right w:type="dxa" w:w="140"/>
            </w:tcMar>
          </w:tcPr>
          <w:p>
            <w:r>
              <w:rPr>
                <w:rFonts w:ascii="Inter" w:cs="Inter" w:eastAsia="Inter" w:hAnsi="Inter"/>
                <w:b/>
                <w:bCs/>
                <w:color w:val="FFFFFF"/>
                <w:sz w:val="18"/>
                <w:szCs w:val="18"/>
              </w:rPr>
              <w:t xml:space="preserve">Context</w:t>
            </w:r>
          </w:p>
        </w:tc>
      </w:tr>
      <w:tr>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Georgia" w:cs="Georgia" w:eastAsia="Georgia" w:hAnsi="Georgia"/>
                <w:b/>
                <w:bCs/>
                <w:i/>
                <w:iCs/>
                <w:color w:val="1A1A2E"/>
                <w:sz w:val="20"/>
                <w:szCs w:val="20"/>
              </w:rPr>
              <w:t xml:space="preserve">“The Crafty Agent”</w:t>
            </w:r>
          </w:p>
        </w:tc>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b w:val="false"/>
                <w:bCs w:val="false"/>
                <w:i w:val="false"/>
                <w:iCs w:val="false"/>
                <w:color w:val="1A1A2E"/>
                <w:sz w:val="20"/>
                <w:szCs w:val="20"/>
              </w:rPr>
              <w:t xml:space="preserve">Primary tagline. Direct translation of the name’s meaning. Works as a subtitle under the wordmark.</w:t>
            </w:r>
          </w:p>
        </w:tc>
      </w:tr>
      <w:tr>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Georgia" w:cs="Georgia" w:eastAsia="Georgia" w:hAnsi="Georgia"/>
                <w:b/>
                <w:bCs/>
                <w:i/>
                <w:iCs/>
                <w:color w:val="1A1A2E"/>
                <w:sz w:val="20"/>
                <w:szCs w:val="20"/>
              </w:rPr>
              <w:t xml:space="preserve">“Scheme. Execute. Deliver.”</w:t>
            </w:r>
          </w:p>
        </w:tc>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b w:val="false"/>
                <w:bCs w:val="false"/>
                <w:i w:val="false"/>
                <w:iCs w:val="false"/>
                <w:color w:val="1A1A2E"/>
                <w:sz w:val="20"/>
                <w:szCs w:val="20"/>
              </w:rPr>
              <w:t xml:space="preserve">Action-oriented variant for marketing/hero sections.</w:t>
            </w:r>
          </w:p>
        </w:tc>
      </w:tr>
      <w:tr>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Georgia" w:cs="Georgia" w:eastAsia="Georgia" w:hAnsi="Georgia"/>
                <w:b/>
                <w:bCs/>
                <w:i/>
                <w:iCs/>
                <w:color w:val="1A1A2E"/>
                <w:sz w:val="20"/>
                <w:szCs w:val="20"/>
              </w:rPr>
              <w:t xml:space="preserve">“Hermes’ Sharpest Heir”</w:t>
            </w:r>
          </w:p>
        </w:tc>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b w:val="false"/>
                <w:bCs w:val="false"/>
                <w:i w:val="false"/>
                <w:iCs w:val="false"/>
                <w:color w:val="1A1A2E"/>
                <w:sz w:val="20"/>
                <w:szCs w:val="20"/>
              </w:rPr>
              <w:t xml:space="preserve">Narrative variant for blog posts and long-form content.</w:t>
            </w:r>
          </w:p>
        </w:tc>
      </w:tr>
      <w:tr>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Georgia" w:cs="Georgia" w:eastAsia="Georgia" w:hAnsi="Georgia"/>
                <w:b/>
                <w:bCs/>
                <w:i/>
                <w:iCs/>
                <w:color w:val="1A1A2E"/>
                <w:sz w:val="20"/>
                <w:szCs w:val="20"/>
              </w:rPr>
              <w:t xml:space="preserve">“Autonomous intelligence, mythological precision.”</w:t>
            </w:r>
          </w:p>
        </w:tc>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b w:val="false"/>
                <w:bCs w:val="false"/>
                <w:i w:val="false"/>
                <w:iCs w:val="false"/>
                <w:color w:val="1A1A2E"/>
                <w:sz w:val="20"/>
                <w:szCs w:val="20"/>
              </w:rPr>
              <w:t xml:space="preserve">Enterprise/pitch deck variant.</w:t>
            </w:r>
          </w:p>
        </w:tc>
      </w:tr>
    </w:tbl>
    <w:p>
      <w:pPr>
        <w:spacing w:after="0" w:before="200"/>
      </w:pPr>
    </w:p>
    <w:p>
      <w:pPr>
        <w:pStyle w:val="Heading2"/>
        <w:spacing w:after="150" w:before="300"/>
      </w:pPr>
      <w:r>
        <w:rPr>
          <w:rFonts w:ascii="Georgia" w:cs="Georgia" w:eastAsia="Georgia" w:hAnsi="Georgia"/>
          <w:b/>
          <w:bCs/>
          <w:color w:val="0F3460"/>
          <w:sz w:val="28"/>
          <w:szCs w:val="28"/>
        </w:rPr>
        <w:t xml:space="preserve">6.3 Do / Don’t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E8F5E9" w:val="clear"/>
            <w:tcMar>
              <w:top w:type="dxa" w:w="100"/>
              <w:left w:type="dxa" w:w="140"/>
              <w:bottom w:type="dxa" w:w="100"/>
              <w:right w:type="dxa" w:w="140"/>
            </w:tcMar>
          </w:tcPr>
          <w:p>
            <w:r>
              <w:rPr>
                <w:rFonts w:ascii="Inter" w:cs="Inter" w:eastAsia="Inter" w:hAnsi="Inter"/>
                <w:b/>
                <w:bCs/>
                <w:color w:val="2E7D32"/>
                <w:sz w:val="20"/>
                <w:szCs w:val="20"/>
              </w:rPr>
              <w:t xml:space="preserve">✅  DO</w:t>
            </w:r>
          </w:p>
        </w:tc>
        <w:tc>
          <w:tcPr>
            <w:tcW w:type="dxa" w:w="4680"/>
            <w:tcBorders>
              <w:top w:val="single" w:color="E5E7EB" w:sz="1"/>
              <w:left w:val="single" w:color="E5E7EB" w:sz="1"/>
              <w:bottom w:val="single" w:color="E5E7EB" w:sz="1"/>
              <w:right w:val="single" w:color="E5E7EB" w:sz="1"/>
            </w:tcBorders>
            <w:shd w:fill="FFEBEE" w:val="clear"/>
            <w:tcMar>
              <w:top w:type="dxa" w:w="100"/>
              <w:left w:type="dxa" w:w="140"/>
              <w:bottom w:type="dxa" w:w="100"/>
              <w:right w:type="dxa" w:w="140"/>
            </w:tcMar>
          </w:tcPr>
          <w:p>
            <w:r>
              <w:rPr>
                <w:rFonts w:ascii="Inter" w:cs="Inter" w:eastAsia="Inter" w:hAnsi="Inter"/>
                <w:b/>
                <w:bCs/>
                <w:color w:val="C62828"/>
                <w:sz w:val="20"/>
                <w:szCs w:val="20"/>
              </w:rPr>
              <w:t xml:space="preserve">❌  DON’T</w:t>
            </w:r>
          </w:p>
        </w:tc>
      </w:tr>
      <w:tr>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0"/>
                <w:szCs w:val="20"/>
              </w:rPr>
              <w:t xml:space="preserve">Use “Dolios” as a proper noun, always capitalized</w:t>
            </w:r>
          </w:p>
        </w:tc>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0"/>
                <w:szCs w:val="20"/>
              </w:rPr>
              <w:t xml:space="preserve">Never write “dolios” or “DOLIOS” in body text (all-caps only in logos)</w:t>
            </w:r>
          </w:p>
        </w:tc>
      </w:tr>
      <w:tr>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0"/>
                <w:szCs w:val="20"/>
              </w:rPr>
              <w:t xml:space="preserve">Reference the Hermes lineage naturally</w:t>
            </w:r>
          </w:p>
        </w:tc>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0"/>
                <w:szCs w:val="20"/>
              </w:rPr>
              <w:t xml:space="preserve">Don’t force Greek mythology into every sentence</w:t>
            </w:r>
          </w:p>
        </w:tc>
      </w:tr>
      <w:tr>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0"/>
                <w:szCs w:val="20"/>
              </w:rPr>
              <w:t xml:space="preserve">Show the agent’s reasoning/plan in UI copy</w:t>
            </w:r>
          </w:p>
        </w:tc>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0"/>
                <w:szCs w:val="20"/>
              </w:rPr>
              <w:t xml:space="preserve">Don’t describe the agent as “magical” or “automatic”</w:t>
            </w:r>
          </w:p>
        </w:tc>
      </w:tr>
      <w:tr>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0"/>
                <w:szCs w:val="20"/>
              </w:rPr>
              <w:t xml:space="preserve">Use technical precision in documentation</w:t>
            </w:r>
          </w:p>
        </w:tc>
        <w:tc>
          <w:tcPr>
            <w:tcW w:type="dxa" w:w="468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spacing w:line="300"/>
            </w:pPr>
            <w:r>
              <w:rPr>
                <w:rFonts w:ascii="Inter" w:cs="Inter" w:eastAsia="Inter" w:hAnsi="Inter"/>
                <w:color w:val="1A1A2E"/>
                <w:sz w:val="20"/>
                <w:szCs w:val="20"/>
              </w:rPr>
              <w:t xml:space="preserve">Don’t use marketing buzzwords like “revolutionary” or “game-changing”</w:t>
            </w:r>
          </w:p>
        </w:tc>
      </w:tr>
    </w:tbl>
    <w:p>
      <w:pPr>
        <w:sectPr>
          <w:headerReference w:type="default" r:id="rId13"/>
          <w:footerReference w:type="default" r:id="rId14"/>
          <w:pgSz w:w="12240" w:h="15840" w:orient="portrait"/>
          <w:pgMar w:top="1440" w:right="1440" w:bottom="1440" w:left="1440" w:header="708" w:footer="708" w:gutter="0"/>
          <w:pgNumType/>
          <w:docGrid w:linePitch="360"/>
        </w:sectPr>
      </w:pPr>
    </w:p>
    <w:p>
      <w:pPr>
        <w:pStyle w:val="Heading1"/>
        <w:spacing w:after="200" w:before="400"/>
      </w:pPr>
      <w:r>
        <w:rPr>
          <w:rFonts w:ascii="Georgia" w:cs="Georgia" w:eastAsia="Georgia" w:hAnsi="Georgia"/>
          <w:b/>
          <w:bCs/>
          <w:color w:val="1A1A2E"/>
          <w:sz w:val="36"/>
          <w:szCs w:val="36"/>
        </w:rPr>
        <w:t xml:space="preserve">7. Cowork Execution Instructions</w:t>
      </w:r>
    </w:p>
    <w:p>
      <w:pPr>
        <w:pBdr>
          <w:bottom w:val="single" w:color="E94560" w:sz="4" w:space="8"/>
        </w:pBdr>
        <w:spacing w:after="200" w:before="200"/>
      </w:pPr>
    </w:p>
    <w:p>
      <w:pPr>
        <w:spacing w:after="160" w:line="320"/>
        <w:jc w:val="left"/>
      </w:pPr>
      <w:r>
        <w:rPr>
          <w:rFonts w:ascii="Inter" w:cs="Inter" w:eastAsia="Inter" w:hAnsi="Inter"/>
          <w:color w:val="1A1A2E"/>
          <w:sz w:val="22"/>
          <w:szCs w:val="22"/>
        </w:rPr>
        <w:t xml:space="preserve">This section is written directly for Claude Cowork. Place this document in your project folder and reference it when assigning tasks.</w:t>
      </w:r>
    </w:p>
    <w:p>
      <w:pPr>
        <w:spacing w:after="0" w:before="100"/>
      </w:pPr>
    </w:p>
    <w:p>
      <w:pPr>
        <w:pStyle w:val="Heading2"/>
        <w:spacing w:after="150" w:before="300"/>
      </w:pPr>
      <w:r>
        <w:rPr>
          <w:rFonts w:ascii="Georgia" w:cs="Georgia" w:eastAsia="Georgia" w:hAnsi="Georgia"/>
          <w:b/>
          <w:bCs/>
          <w:color w:val="0F3460"/>
          <w:sz w:val="28"/>
          <w:szCs w:val="28"/>
        </w:rPr>
        <w:t xml:space="preserve">7.1 Folder Structure</w:t>
      </w:r>
    </w:p>
    <w:p>
      <w:pPr>
        <w:pBdr>
          <w:left w:val="single" w:color="0F3460" w:sz="8" w:space="8"/>
        </w:pBdr>
        <w:shd w:fill="F0F0F4" w:val="clear"/>
        <w:spacing w:after="200"/>
      </w:pPr>
      <w:r>
        <w:rPr>
          <w:rFonts w:ascii="JetBrains Mono" w:cs="JetBrains Mono" w:eastAsia="JetBrains Mono" w:hAnsi="JetBrains Mono"/>
          <w:color w:val="1A1A2E"/>
          <w:sz w:val="18"/>
          <w:szCs w:val="18"/>
        </w:rPr>
        <w:t xml:space="preserve">dolios-brand/
  brand-brief.docx          (this document)
  assets/
    logo-wordmark.svg
    logo-lettermark.svg
    logo-icon.svg
    logo-lockup.svg
  colors/
    palette.json
    palette.css
  typography/
    type-scale.css
  docs/
    brand-guidelines.pdf
    pitch-deck.pptx</w:t>
      </w:r>
    </w:p>
    <w:p>
      <w:pPr>
        <w:pStyle w:val="Heading2"/>
        <w:spacing w:after="150" w:before="300"/>
      </w:pPr>
      <w:r>
        <w:rPr>
          <w:rFonts w:ascii="Georgia" w:cs="Georgia" w:eastAsia="Georgia" w:hAnsi="Georgia"/>
          <w:b/>
          <w:bCs/>
          <w:color w:val="0F3460"/>
          <w:sz w:val="28"/>
          <w:szCs w:val="28"/>
        </w:rPr>
        <w:t xml:space="preserve">7.2 Task Prompts for Cowork</w:t>
      </w:r>
    </w:p>
    <w:p>
      <w:pPr>
        <w:spacing w:after="160" w:line="320"/>
        <w:jc w:val="left"/>
      </w:pPr>
      <w:r>
        <w:rPr>
          <w:rFonts w:ascii="Inter" w:cs="Inter" w:eastAsia="Inter" w:hAnsi="Inter"/>
          <w:color w:val="1A1A2E"/>
          <w:sz w:val="22"/>
          <w:szCs w:val="22"/>
        </w:rPr>
        <w:t xml:space="preserve">Copy-paste these into Cowork tasks:</w:t>
      </w:r>
    </w:p>
    <w:p>
      <w:pPr>
        <w:spacing w:after="120" w:line="320"/>
      </w:pPr>
      <w:r>
        <w:rPr>
          <w:rFonts w:ascii="Inter" w:cs="Inter" w:eastAsia="Inter" w:hAnsi="Inter"/>
          <w:b/>
          <w:bCs/>
          <w:color w:val="1A1A2E"/>
          <w:sz w:val="22"/>
          <w:szCs w:val="22"/>
        </w:rPr>
        <w:t xml:space="preserve">Task 1 — Generate SVG Logos: </w:t>
      </w:r>
      <w:r>
        <w:rPr>
          <w:rFonts w:ascii="Inter" w:cs="Inter" w:eastAsia="Inter" w:hAnsi="Inter"/>
          <w:color w:val="1A1A2E"/>
          <w:sz w:val="22"/>
          <w:szCs w:val="22"/>
        </w:rPr>
        <w:t xml:space="preserve">Read brand-brief.docx in this folder. Using the logo specifications in Section 4 and the color system in Section 2, generate four SVG files: wordmark, lettermark, pictorial icon, and full lockup. Save them to assets/. Use exact hex values from the spec. The wordmark should use Georgia Bold as the base font. Ensure all SVGs are clean, production-ready, and work at both 16px and 512px.</w:t>
      </w:r>
    </w:p>
    <w:p>
      <w:pPr>
        <w:spacing w:after="0" w:before="100"/>
      </w:pPr>
    </w:p>
    <w:p>
      <w:pPr>
        <w:spacing w:after="120" w:line="320"/>
      </w:pPr>
      <w:r>
        <w:rPr>
          <w:rFonts w:ascii="Inter" w:cs="Inter" w:eastAsia="Inter" w:hAnsi="Inter"/>
          <w:b/>
          <w:bCs/>
          <w:color w:val="1A1A2E"/>
          <w:sz w:val="22"/>
          <w:szCs w:val="22"/>
        </w:rPr>
        <w:t xml:space="preserve">Task 2 — Generate Design Tokens: </w:t>
      </w:r>
      <w:r>
        <w:rPr>
          <w:rFonts w:ascii="Inter" w:cs="Inter" w:eastAsia="Inter" w:hAnsi="Inter"/>
          <w:color w:val="1A1A2E"/>
          <w:sz w:val="22"/>
          <w:szCs w:val="22"/>
        </w:rPr>
        <w:t xml:space="preserve">Read brand-brief.docx. Extract the complete color system and typography specs into: (1) colors/palette.json with all hex values, RGB, and HSL variants, (2) colors/palette.css with CSS custom properties, (3) typography/type-scale.css with the full type hierarchy as CSS classes. Follow the naming conventions in the spec.</w:t>
      </w:r>
    </w:p>
    <w:p>
      <w:pPr>
        <w:spacing w:after="0" w:before="100"/>
      </w:pPr>
    </w:p>
    <w:p>
      <w:pPr>
        <w:spacing w:after="120" w:line="320"/>
      </w:pPr>
      <w:r>
        <w:rPr>
          <w:rFonts w:ascii="Inter" w:cs="Inter" w:eastAsia="Inter" w:hAnsi="Inter"/>
          <w:b/>
          <w:bCs/>
          <w:color w:val="1A1A2E"/>
          <w:sz w:val="22"/>
          <w:szCs w:val="22"/>
        </w:rPr>
        <w:t xml:space="preserve">Task 3 — Build Brand Guidelines PDF: </w:t>
      </w:r>
      <w:r>
        <w:rPr>
          <w:rFonts w:ascii="Inter" w:cs="Inter" w:eastAsia="Inter" w:hAnsi="Inter"/>
          <w:color w:val="1A1A2E"/>
          <w:sz w:val="22"/>
          <w:szCs w:val="22"/>
        </w:rPr>
        <w:t xml:space="preserve">Read brand-brief.docx and all assets in the assets/ folder. Create a polished brand guidelines PDF that includes: cover page, color system with swatches, typography samples, logo usage rules with clear space diagrams, do/don’t examples, and brand voice guidelines. Save to docs/brand-guidelines.pdf.</w:t>
      </w:r>
    </w:p>
    <w:p>
      <w:pPr>
        <w:spacing w:after="0" w:before="100"/>
      </w:pPr>
    </w:p>
    <w:p>
      <w:pPr>
        <w:spacing w:after="120" w:line="320"/>
      </w:pPr>
      <w:r>
        <w:rPr>
          <w:rFonts w:ascii="Inter" w:cs="Inter" w:eastAsia="Inter" w:hAnsi="Inter"/>
          <w:b/>
          <w:bCs/>
          <w:color w:val="1A1A2E"/>
          <w:sz w:val="22"/>
          <w:szCs w:val="22"/>
        </w:rPr>
        <w:t xml:space="preserve">Task 4 — Create Pitch Deck: </w:t>
      </w:r>
      <w:r>
        <w:rPr>
          <w:rFonts w:ascii="Inter" w:cs="Inter" w:eastAsia="Inter" w:hAnsi="Inter"/>
          <w:color w:val="1A1A2E"/>
          <w:sz w:val="22"/>
          <w:szCs w:val="22"/>
        </w:rPr>
        <w:t xml:space="preserve">Read brand-brief.docx. Create a 10-slide pitch deck for Dolios as a PPTX file. Slides: (1) Title/hero, (2) Problem — agent frameworks lack identity, (3) Solution — Dolios, (4) Name origin story, (5) Visual identity overview, (6) Color system, (7) Typography, (8) Logo system, (9) Brand voice, (10) Next steps. Use the brand colors and typography throughout. Save to docs/pitch-deck.pptx.</w:t>
      </w:r>
    </w:p>
    <w:p>
      <w:pPr>
        <w:spacing w:after="0" w:before="100"/>
      </w:pPr>
    </w:p>
    <w:p>
      <w:pPr>
        <w:spacing w:after="120" w:line="320"/>
      </w:pPr>
      <w:r>
        <w:rPr>
          <w:rFonts w:ascii="Inter" w:cs="Inter" w:eastAsia="Inter" w:hAnsi="Inter"/>
          <w:b/>
          <w:bCs/>
          <w:color w:val="1A1A2E"/>
          <w:sz w:val="22"/>
          <w:szCs w:val="22"/>
        </w:rPr>
        <w:t xml:space="preserve">Task 5 — Figma Connector (if available): </w:t>
      </w:r>
      <w:r>
        <w:rPr>
          <w:rFonts w:ascii="Inter" w:cs="Inter" w:eastAsia="Inter" w:hAnsi="Inter"/>
          <w:color w:val="1A1A2E"/>
          <w:sz w:val="22"/>
          <w:szCs w:val="22"/>
        </w:rPr>
        <w:t xml:space="preserve">If the Figma connector is enabled, create a new Figma file called “Dolios Brand System”. Set up frames for: Logo Variants, Color Palette, Typography Scale, and Component Library. Import the SVG assets from assets/ and organize them with proper naming conventions.</w:t>
      </w:r>
    </w:p>
    <w:sectPr>
      <w:headerReference w:type="default" r:id="rId15"/>
      <w:footerReference w:type="default" r:id="rId1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B7280"/>
        <w:sz w:val="16"/>
        <w:szCs w:val="16"/>
      </w:rPr>
      <w:t xml:space="preserve">Page </w:t>
    </w:r>
    <w:r>
      <w:rPr>
        <w:rFonts w:ascii="Inter" w:cs="Inter" w:eastAsia="Inter" w:hAnsi="Inter"/>
        <w:color w:val="6B72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B7280"/>
        <w:sz w:val="16"/>
        <w:szCs w:val="16"/>
      </w:rPr>
      <w:t xml:space="preserve">Page </w:t>
    </w:r>
    <w:r>
      <w:rPr>
        <w:rFonts w:ascii="Inter" w:cs="Inter" w:eastAsia="Inter" w:hAnsi="Inter"/>
        <w:color w:val="6B728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B7280"/>
        <w:sz w:val="16"/>
        <w:szCs w:val="16"/>
      </w:rPr>
      <w:t xml:space="preserve">Page </w:t>
    </w:r>
    <w:r>
      <w:rPr>
        <w:rFonts w:ascii="Inter" w:cs="Inter" w:eastAsia="Inter" w:hAnsi="Inter"/>
        <w:color w:val="6B7280"/>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B7280"/>
        <w:sz w:val="16"/>
        <w:szCs w:val="16"/>
      </w:rPr>
      <w:t xml:space="preserve">Page </w:t>
    </w:r>
    <w:r>
      <w:rPr>
        <w:rFonts w:ascii="Inter" w:cs="Inter" w:eastAsia="Inter" w:hAnsi="Inter"/>
        <w:color w:val="6B7280"/>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B7280"/>
        <w:sz w:val="16"/>
        <w:szCs w:val="16"/>
      </w:rPr>
      <w:t xml:space="preserve">Page </w:t>
    </w:r>
    <w:r>
      <w:rPr>
        <w:rFonts w:ascii="Inter" w:cs="Inter" w:eastAsia="Inter" w:hAnsi="Inte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Georgia" w:cs="Georgia" w:eastAsia="Georgia" w:hAnsi="Georgia"/>
        <w:b/>
        <w:bCs/>
        <w:color w:val="1A1A2E"/>
        <w:sz w:val="16"/>
        <w:szCs w:val="16"/>
      </w:rPr>
      <w:t xml:space="preserve">DOLIOS</w:t>
    </w:r>
    <w:r>
      <w:rPr>
        <w:rFonts w:ascii="Inter" w:cs="Inter" w:eastAsia="Inter" w:hAnsi="Inter"/>
        <w:color w:val="6B7280"/>
        <w:sz w:val="16"/>
        <w:szCs w:val="16"/>
      </w:rPr>
      <w:t xml:space="preserve">  —  Brand Identity System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eorgia" w:cs="Georgia" w:eastAsia="Georgia" w:hAnsi="Georgia"/>
        <w:b/>
        <w:bCs/>
        <w:color w:val="1A1A2E"/>
        <w:sz w:val="16"/>
        <w:szCs w:val="16"/>
      </w:rPr>
      <w:t xml:space="preserve">DOLIOS</w:t>
    </w:r>
    <w:r>
      <w:rPr>
        <w:rFonts w:ascii="Inter" w:cs="Inter" w:eastAsia="Inter" w:hAnsi="Inter"/>
        <w:color w:val="6B7280"/>
        <w:sz w:val="16"/>
        <w:szCs w:val="16"/>
      </w:rPr>
      <w:t xml:space="preserve">  —  Brand Identity System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eorgia" w:cs="Georgia" w:eastAsia="Georgia" w:hAnsi="Georgia"/>
        <w:b/>
        <w:bCs/>
        <w:color w:val="1A1A2E"/>
        <w:sz w:val="16"/>
        <w:szCs w:val="16"/>
      </w:rPr>
      <w:t xml:space="preserve">DOLIOS</w:t>
    </w:r>
    <w:r>
      <w:rPr>
        <w:rFonts w:ascii="Inter" w:cs="Inter" w:eastAsia="Inter" w:hAnsi="Inter"/>
        <w:color w:val="6B7280"/>
        <w:sz w:val="16"/>
        <w:szCs w:val="16"/>
      </w:rPr>
      <w:t xml:space="preserve">  —  Brand Identity System</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eorgia" w:cs="Georgia" w:eastAsia="Georgia" w:hAnsi="Georgia"/>
        <w:b/>
        <w:bCs/>
        <w:color w:val="1A1A2E"/>
        <w:sz w:val="16"/>
        <w:szCs w:val="16"/>
      </w:rPr>
      <w:t xml:space="preserve">DOLIOS</w:t>
    </w:r>
    <w:r>
      <w:rPr>
        <w:rFonts w:ascii="Inter" w:cs="Inter" w:eastAsia="Inter" w:hAnsi="Inter"/>
        <w:color w:val="6B7280"/>
        <w:sz w:val="16"/>
        <w:szCs w:val="16"/>
      </w:rPr>
      <w:t xml:space="preserve">  —  Brand Identity System</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eorgia" w:cs="Georgia" w:eastAsia="Georgia" w:hAnsi="Georgia"/>
        <w:b/>
        <w:bCs/>
        <w:color w:val="1A1A2E"/>
        <w:sz w:val="16"/>
        <w:szCs w:val="16"/>
      </w:rPr>
      <w:t xml:space="preserve">DOLIOS</w:t>
    </w:r>
    <w:r>
      <w:rPr>
        <w:rFonts w:ascii="Inter" w:cs="Inter" w:eastAsia="Inter" w:hAnsi="Inter"/>
        <w:color w:val="6B7280"/>
        <w:sz w:val="16"/>
        <w:szCs w:val="16"/>
      </w:rPr>
      <w:t xml:space="preserve">  —  Brand Identity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1A2E"/>
      <w:sz w:val="36"/>
      <w:szCs w:val="36"/>
    </w:rPr>
  </w:style>
  <w:style w:type="paragraph" w:styleId="Heading2">
    <w:name w:val="Heading 2"/>
    <w:basedOn w:val="Normal"/>
    <w:next w:val="Normal"/>
    <w:qFormat/>
    <w:pPr>
      <w:spacing w:after="150" w:before="300"/>
      <w:outlineLvl w:val="1"/>
    </w:pPr>
    <w:rPr>
      <w:rFonts w:ascii="Georgia" w:cs="Georgia" w:eastAsia="Georgia" w:hAnsi="Georgia"/>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2026-03-22T18:20:33.469Z</dcterms:created>
  <dcterms:modified xsi:type="dcterms:W3CDTF">2026-03-22T18:20:33.469Z</dcterms:modified>
</cp:coreProperties>
</file>

<file path=docProps/custom.xml><?xml version="1.0" encoding="utf-8"?>
<Properties xmlns="http://schemas.openxmlformats.org/officeDocument/2006/custom-properties" xmlns:vt="http://schemas.openxmlformats.org/officeDocument/2006/docPropsVTypes"/>
</file>