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52"/>
        </w:rPr>
        <w:t>Espacios Project-Level Intelligence Handoff</w:t>
      </w:r>
    </w:p>
    <w:p>
      <w:pPr>
        <w:spacing w:after="280"/>
      </w:pPr>
      <w:r>
        <w:rPr>
          <w:rFonts w:ascii="Arial" w:hAnsi="Arial"/>
          <w:color w:val="586174"/>
          <w:sz w:val="24"/>
        </w:rPr>
        <w:t>Historical pricing, scenario modelling, source governance, and deployment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7344"/>
      </w:tblGrid>
      <w:t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Checked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24 September 2026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Production URL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https://espacios.me/map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Worker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psr-portfolio-map-v2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Live version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145 at 100% traffic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Version UUID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bb5456b0-d558-4dba-9856-a80e19f4b5a2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Deployment UUID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01fa63ce-ab72-4592-99aa-b211ec857dc9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Workbook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1,382 projects / 528 scenario-ready / 0 approved forecasts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Purpose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Project-level pricing, sourcing, APIs, and release boundaries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Contents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1. </w:t>
      </w:r>
      <w:r>
        <w:rPr>
          <w:rFonts w:ascii="Arial" w:hAnsi="Arial"/>
          <w:sz w:val="20"/>
        </w:rPr>
        <w:t>Executive state and non-negotiable boundaries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2. </w:t>
      </w:r>
      <w:r>
        <w:rPr>
          <w:rFonts w:ascii="Arial" w:hAnsi="Arial"/>
          <w:sz w:val="20"/>
        </w:rPr>
        <w:t>Production architecture and control plane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3. </w:t>
      </w:r>
      <w:r>
        <w:rPr>
          <w:rFonts w:ascii="Arial" w:hAnsi="Arial"/>
          <w:sz w:val="20"/>
        </w:rPr>
        <w:t>Current data estate and source hierarchy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4. </w:t>
      </w:r>
      <w:r>
        <w:rPr>
          <w:rFonts w:ascii="Arial" w:hAnsi="Arial"/>
          <w:sz w:val="20"/>
        </w:rPr>
        <w:t>Project-level workbook model and formulas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5. </w:t>
      </w:r>
      <w:r>
        <w:rPr>
          <w:rFonts w:ascii="Arial" w:hAnsi="Arial"/>
          <w:sz w:val="20"/>
        </w:rPr>
        <w:t>Required project-level source contract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6. </w:t>
      </w:r>
      <w:r>
        <w:rPr>
          <w:rFonts w:ascii="Arial" w:hAnsi="Arial"/>
          <w:sz w:val="20"/>
        </w:rPr>
        <w:t>Ingestion, reconciliation, and QA pipeline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7. </w:t>
      </w:r>
      <w:r>
        <w:rPr>
          <w:rFonts w:ascii="Arial" w:hAnsi="Arial"/>
          <w:sz w:val="20"/>
        </w:rPr>
        <w:t>Backend API and storage design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8. </w:t>
      </w:r>
      <w:r>
        <w:rPr>
          <w:rFonts w:ascii="Arial" w:hAnsi="Arial"/>
          <w:sz w:val="20"/>
        </w:rPr>
        <w:t>Frontend timeline and project-profile integration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9. </w:t>
      </w:r>
      <w:r>
        <w:rPr>
          <w:rFonts w:ascii="Arial" w:hAnsi="Arial"/>
          <w:sz w:val="20"/>
        </w:rPr>
        <w:t>Forecasting and scenario rules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10. </w:t>
      </w:r>
      <w:r>
        <w:rPr>
          <w:rFonts w:ascii="Arial" w:hAnsi="Arial"/>
          <w:sz w:val="20"/>
        </w:rPr>
        <w:t>What is missing and acquisition priority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11. </w:t>
      </w:r>
      <w:r>
        <w:rPr>
          <w:rFonts w:ascii="Arial" w:hAnsi="Arial"/>
          <w:sz w:val="20"/>
        </w:rPr>
        <w:t>Release, testing, rollback, and observability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12. </w:t>
      </w:r>
      <w:r>
        <w:rPr>
          <w:rFonts w:ascii="Arial" w:hAnsi="Arial"/>
          <w:sz w:val="20"/>
        </w:rPr>
        <w:t>Engineering work plan and acceptance gates</w:t>
      </w:r>
    </w:p>
    <w:p>
      <w:pPr>
        <w:pStyle w:val="ListBullet"/>
      </w:pPr>
      <w:r>
        <w:rPr>
          <w:rFonts w:ascii="Arial" w:hAnsi="Arial"/>
          <w:sz w:val="20"/>
        </w:rPr>
        <w:t>Appendix A. Exact source register</w:t>
      </w:r>
    </w:p>
    <w:p>
      <w:pPr>
        <w:pStyle w:val="ListBullet"/>
      </w:pPr>
      <w:r>
        <w:rPr>
          <w:rFonts w:ascii="Arial" w:hAnsi="Arial"/>
          <w:sz w:val="20"/>
        </w:rPr>
        <w:t>Appendix B. Current live endpoints and artifacts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1 Executive state and non-negotiable boundaries</w:t>
      </w:r>
    </w:p>
    <w:p>
      <w:pPr>
        <w:keepNext/>
      </w:pPr>
      <w:r>
        <w:rPr>
          <w:rFonts w:ascii="Arial" w:hAnsi="Arial"/>
          <w:sz w:val="21"/>
        </w:rPr>
        <w:t xml:space="preserve">Live production today. The public map is still on Cloudflare Worker version 145, UUID </w:t>
      </w:r>
      <w:r>
        <w:rPr>
          <w:rFonts w:ascii="Courier New" w:hAnsi="Courier New"/>
          <w:sz w:val="20"/>
        </w:rPr>
        <w:t>bb5456b0-d558-4dba-9856-a80e19f4b5a2</w:t>
      </w:r>
      <w:r>
        <w:rPr>
          <w:rFonts w:ascii="Arial" w:hAnsi="Arial"/>
          <w:sz w:val="21"/>
        </w:rPr>
        <w:t xml:space="preserve">, deployment </w:t>
      </w:r>
      <w:r>
        <w:rPr>
          <w:rFonts w:ascii="Courier New" w:hAnsi="Courier New"/>
          <w:sz w:val="20"/>
        </w:rPr>
        <w:t>01fa63ce-ab72-4592-99aa-b211ec857dc9</w:t>
      </w:r>
      <w:r>
        <w:rPr>
          <w:rFonts w:ascii="Arial" w:hAnsi="Arial"/>
          <w:sz w:val="21"/>
        </w:rPr>
        <w:t>, at 100% traffic. That live release publishes descriptive Dubai registered-sale history and the draggable timeline. The later Excel enrichment and project-level scenario model have not been deployed.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Current value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Canonical surface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espacios.me/map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Production Worker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psr-portfolio-map-v2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 version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145 / 100% traffic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Version UUID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bb5456b0-d558-4dba-9856-a80e19f4b5a2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Deployment UUID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01fa63ce-ab72-4592-99aa-b211ec857dc9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Workbook model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1,382 projects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Mapped Dubai history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704 projects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Scenario-ready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528 projects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Approved project forecast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Current state</w:t>
            </w:r>
          </w:p>
        </w:tc>
        <w:tc>
          <w:tcPr>
            <w:tcW w:type="dxa" w:w="66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Scenarios only; not deployed</w:t>
            </w:r>
          </w:p>
        </w:tc>
      </w:tr>
    </w:tbl>
    <w:p>
      <w:pPr>
        <w:spacing w:after="20"/>
      </w:pPr>
    </w:p>
    <w:p>
      <w:r>
        <w:rPr>
          <w:rFonts w:ascii="Arial" w:hAnsi="Arial"/>
          <w:sz w:val="21"/>
        </w:rPr>
        <w:t>The biggest missing capability is actual project-specific transaction history. The workbook can produce project-level scenarios for 528 projects that have both a current recorded ask and a mapped Dubai market history. The historical project price is still a backcast from the project's current asking price using area movement. It is not an observed historical sale of that project. The future numbers are scenarios, not approved forecasts.</w:t>
      </w:r>
    </w:p>
    <w:p>
      <w:pPr>
        <w:pStyle w:val="ListBullet"/>
      </w:pPr>
      <w:r>
        <w:rPr>
          <w:rFonts w:ascii="Arial" w:hAnsi="Arial"/>
          <w:sz w:val="20"/>
        </w:rPr>
        <w:t>Observed historical data stays observed. Do not relabel area medians, asking benchmarks, policy targets, or scenario outputs as exact project transactions.</w:t>
      </w:r>
    </w:p>
    <w:p>
      <w:pPr>
        <w:pStyle w:val="ListBullet"/>
      </w:pPr>
      <w:r>
        <w:rPr>
          <w:rFonts w:ascii="Arial" w:hAnsi="Arial"/>
          <w:sz w:val="20"/>
        </w:rPr>
        <w:t>Project-level current asks are separate from closed sales. A project asking price is a catalogue/offer reference, not a registered transaction or verified availability.</w:t>
      </w:r>
    </w:p>
    <w:p>
      <w:pPr>
        <w:pStyle w:val="ListBullet"/>
      </w:pPr>
      <w:r>
        <w:rPr>
          <w:rFonts w:ascii="Arial" w:hAnsi="Arial"/>
          <w:sz w:val="20"/>
        </w:rPr>
        <w:t>The workbook historical project-equivalent price is modelled. It is a backcast from current project ask using the matched market-area price ratio. It is not an observed old project sale or old project ask.</w:t>
      </w:r>
    </w:p>
    <w:p>
      <w:pPr>
        <w:pStyle w:val="ListBullet"/>
      </w:pPr>
      <w:r>
        <w:rPr>
          <w:rFonts w:ascii="Arial" w:hAnsi="Arial"/>
          <w:sz w:val="20"/>
        </w:rPr>
        <w:t>The workbook future prices are scenarios. They are explicit downside/base/upside paths. They are not approved forecasts, AVMs, certified valuations, or probabilities.</w:t>
      </w:r>
    </w:p>
    <w:p>
      <w:pPr>
        <w:pStyle w:val="ListBullet"/>
      </w:pPr>
      <w:r>
        <w:rPr>
          <w:rFonts w:ascii="Arial" w:hAnsi="Arial"/>
          <w:sz w:val="20"/>
        </w:rPr>
        <w:t>Missing evidence remains missing. No Dubai series may be borrowed into Abu Dhabi, Sharjah, RAK, Ajman, UAQ, or Fujairah merely to fill cells.</w:t>
      </w:r>
    </w:p>
    <w:p>
      <w:pPr>
        <w:pStyle w:val="ListBullet"/>
      </w:pPr>
      <w:r>
        <w:rPr>
          <w:rFonts w:ascii="Arial" w:hAnsi="Arial"/>
          <w:sz w:val="20"/>
        </w:rPr>
        <w:t>Source identity and use rights travel with the datapoint. Every published observation must retain publisher, URL, effective period, checked date, rights status, transformation, and evidence grade.</w:t>
      </w:r>
    </w:p>
    <w:p>
      <w:pPr>
        <w:pStyle w:val="ListBullet"/>
      </w:pPr>
      <w:r>
        <w:rPr>
          <w:rFonts w:ascii="Arial" w:hAnsi="Arial"/>
          <w:sz w:val="20"/>
        </w:rPr>
        <w:t>If the exact project, building, or unit source cannot be proven, do not fabricate precision. Publish the best supported level (project, building, source area, community, emirate) and label that level explicitly.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2 Production architecture and control plane</w:t>
      </w:r>
    </w:p>
    <w:p>
      <w:r>
        <w:rPr>
          <w:rFonts w:ascii="Arial" w:hAnsi="Arial"/>
          <w:sz w:val="21"/>
        </w:rPr>
        <w:t>Canonical architecture:</w:t>
      </w:r>
    </w:p>
    <w:p>
      <w:pPr>
        <w:pStyle w:val="EspaciosCode"/>
        <w:keepNext/>
        <w:keepLines/>
        <w:shd w:fill="F5F6F8"/>
      </w:pPr>
      <w:r>
        <w:rPr>
          <w:rFonts w:ascii="Courier New" w:hAnsi="Courier New"/>
          <w:sz w:val="17"/>
        </w:rPr>
        <w:t>Browser / MapLibre</w:t>
        <w:br/>
        <w:t xml:space="preserve">  -&gt; psr-portfolio-map-v2</w:t>
        <w:br/>
        <w:t xml:space="preserve">     -&gt; embedded HTML/CSS/JS</w:t>
        <w:br/>
        <w:t xml:space="preserve">     -&gt; R2 snapshots + historical partitions</w:t>
        <w:br/>
        <w:t xml:space="preserve">     -&gt; D1 market / forecast-readiness records</w:t>
        <w:br/>
        <w:t xml:space="preserve">     -&gt; PSR_PROPERTY service for project enrichment</w:t>
        <w:br/>
        <w:t xml:space="preserve">     -&gt; Workers AI for map-context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Current component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Handoff rule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Edge runtime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 xml:space="preserve">Cloudflare Worker: </w:t>
            </w:r>
            <w:r>
              <w:rPr>
                <w:rFonts w:ascii="Courier New" w:hAnsi="Courier New"/>
                <w:sz w:val="18"/>
              </w:rPr>
              <w:t>psr-portfolio-map-v2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Routes, APIs, embedded UI, source guards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Inspect active version before every release. Never assume this handoff version is still current.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Object storage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 xml:space="preserve">R2: </w:t>
            </w:r>
            <w:r>
              <w:rPr>
                <w:rFonts w:ascii="Courier New" w:hAnsi="Courier New"/>
                <w:sz w:val="18"/>
              </w:rPr>
              <w:t>psr-market-intelligence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Raw archives, snapshots, derived partitions, release evidence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Raw objects are immutable evidence. Publish new versioned prefixes rather than overwrite history.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Structured store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 xml:space="preserve">D1: </w:t>
            </w:r>
            <w:r>
              <w:rPr>
                <w:rFonts w:ascii="Courier New" w:hAnsi="Courier New"/>
                <w:sz w:val="18"/>
              </w:rPr>
              <w:t>a5165cff-70a5-4685-af87-5ffdcf08652a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Market observations / legacy forecast readiness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Do not rewrite unrelated shared records. New project observations need explicit schema and versioning.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Project service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PSR_PROPERTY</w:t>
            </w:r>
            <w:r>
              <w:rPr>
                <w:rFonts w:ascii="Arial" w:hAnsi="Arial"/>
                <w:sz w:val="17"/>
              </w:rPr>
              <w:t xml:space="preserve"> service binding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Project catalogue enrichment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Dependency is not product ownership. Espacios remains the canonical surface.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AI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Workers AI binding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Contextual answers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Server should build trusted context from entity IDs and sources. Browser-supplied prose is not sufficient provenance.</w:t>
            </w:r>
          </w:p>
        </w:tc>
      </w:tr>
    </w:tbl>
    <w:p>
      <w:pPr>
        <w:spacing w:after="20"/>
      </w:pPr>
    </w:p>
    <w:p>
      <w:r>
        <w:rPr>
          <w:rFonts w:ascii="Arial" w:hAnsi="Arial"/>
          <w:sz w:val="21"/>
        </w:rPr>
        <w:t xml:space="preserve">Production bindings: </w:t>
      </w:r>
      <w:r>
        <w:rPr>
          <w:rFonts w:ascii="Courier New" w:hAnsi="Courier New"/>
          <w:sz w:val="20"/>
        </w:rPr>
        <w:t>AI</w:t>
      </w:r>
      <w:r>
        <w:rPr>
          <w:rFonts w:ascii="Arial" w:hAnsi="Arial"/>
          <w:sz w:val="21"/>
        </w:rPr>
        <w:t xml:space="preserve">, </w:t>
      </w:r>
      <w:r>
        <w:rPr>
          <w:rFonts w:ascii="Courier New" w:hAnsi="Courier New"/>
          <w:sz w:val="20"/>
        </w:rPr>
        <w:t>DB</w:t>
      </w:r>
      <w:r>
        <w:rPr>
          <w:rFonts w:ascii="Arial" w:hAnsi="Arial"/>
          <w:sz w:val="21"/>
        </w:rPr>
        <w:t xml:space="preserve">, </w:t>
      </w:r>
      <w:r>
        <w:rPr>
          <w:rFonts w:ascii="Courier New" w:hAnsi="Courier New"/>
          <w:sz w:val="20"/>
        </w:rPr>
        <w:t>MARKET_R2</w:t>
      </w:r>
      <w:r>
        <w:rPr>
          <w:rFonts w:ascii="Arial" w:hAnsi="Arial"/>
          <w:sz w:val="21"/>
        </w:rPr>
        <w:t xml:space="preserve">, </w:t>
      </w:r>
      <w:r>
        <w:rPr>
          <w:rFonts w:ascii="Courier New" w:hAnsi="Courier New"/>
          <w:sz w:val="20"/>
        </w:rPr>
        <w:t>PSR_PROPERTY</w:t>
      </w:r>
      <w:r>
        <w:rPr>
          <w:rFonts w:ascii="Arial" w:hAnsi="Arial"/>
          <w:sz w:val="21"/>
        </w:rPr>
        <w:t xml:space="preserve">. Runtime compatibility date </w:t>
      </w:r>
      <w:r>
        <w:rPr>
          <w:rFonts w:ascii="Courier New" w:hAnsi="Courier New"/>
          <w:sz w:val="20"/>
        </w:rPr>
        <w:t>2026-08-20</w:t>
      </w:r>
      <w:r>
        <w:rPr>
          <w:rFonts w:ascii="Arial" w:hAnsi="Arial"/>
          <w:sz w:val="21"/>
        </w:rPr>
        <w:t xml:space="preserve"> with </w:t>
      </w:r>
      <w:r>
        <w:rPr>
          <w:rFonts w:ascii="Courier New" w:hAnsi="Courier New"/>
          <w:sz w:val="20"/>
        </w:rPr>
        <w:t>nodejs_compat</w:t>
      </w:r>
      <w:r>
        <w:rPr>
          <w:rFonts w:ascii="Arial" w:hAnsi="Arial"/>
          <w:sz w:val="21"/>
        </w:rPr>
        <w:t>. Preserve all bindings during every candidate release.</w:t>
      </w:r>
    </w:p>
    <w:p>
      <w:pPr>
        <w:pStyle w:val="Heading1"/>
        <w:keepNext/>
      </w:pPr>
      <w:r>
        <w:rPr>
          <w:rFonts w:ascii="Arial" w:hAnsi="Arial"/>
          <w:b/>
          <w:color w:val="000000"/>
          <w:sz w:val="34"/>
        </w:rPr>
        <w:t>3 Current data estate and source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Holding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Current quantity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Critical caveat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Project catalogue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1,382 projects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Seven emirates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 reference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Project records are not individual homes. 1,063 usable asks in latest inventory.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Dubai transaction source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1,364,226 transaction rows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Dubai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Acquired / derived history live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Independent DLD-derived snapshot. Not a direct government export or full upstream certification.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Eligible residential analytical rows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704,429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Dubai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 descriptive history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Apartment + villa + source-classified townhouse basket only.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Dubai historical periods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92 monthly / 30 quarterly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Jan 2019-Aug 2026 / Q1 2019-Q2 2026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Changing-sample medians, not same-property appreciation.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Dubai historical source areas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124 default residential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116 accepted boundary matches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Not every area has every period. n&lt;20 is withheld from price shading.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Bayut benchmark table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41 H1 2026 rows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34 Dubai/Abu Dhabi localities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 reference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Advertised asking-price / projected gross-yield context. Not project valuation.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Dubai rental charts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180 monthly rent + 180 activity rows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Citywide publisher-defined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Collected only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 raw Ejari microdata. Not community/project rent per sqft.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Ajman histories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7 source datasets / 6 published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Ajman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 history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Strong for activity/registry. Not immediately project-level AED/sqft or yield.</w:t>
            </w:r>
          </w:p>
        </w:tc>
      </w:tr>
      <w:tr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ADREC indicators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6 attributed indicators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Abu Dhabi emirate/type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 reference</w:t>
            </w:r>
          </w:p>
        </w:tc>
        <w:tc>
          <w:tcPr>
            <w:tcW w:type="dxa" w:w="191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High-level report indicators, not property-level microdata.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000000"/>
          <w:sz w:val="27"/>
        </w:rPr>
        <w:t>3.1 Source hierarchy for perfect sourcing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1. </w:t>
      </w:r>
      <w:r>
        <w:rPr>
          <w:rFonts w:ascii="Arial" w:hAnsi="Arial"/>
          <w:b/>
          <w:sz w:val="20"/>
        </w:rPr>
        <w:t>Tier 1 - Authority / registry.</w:t>
      </w:r>
      <w:r>
        <w:rPr>
          <w:rFonts w:ascii="Arial" w:hAnsi="Arial"/>
          <w:sz w:val="20"/>
        </w:rPr>
        <w:t xml:space="preserve"> DLD / Dubai Pulse, ADREC, Ajman open data, other emirate registries. Prefer direct official raw records when access and reuse terms allow the intended use.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2. </w:t>
      </w:r>
      <w:r>
        <w:rPr>
          <w:rFonts w:ascii="Arial" w:hAnsi="Arial"/>
          <w:b/>
          <w:sz w:val="20"/>
        </w:rPr>
        <w:t>Tier 2 - Project owner / developer.</w:t>
      </w:r>
      <w:r>
        <w:rPr>
          <w:rFonts w:ascii="Arial" w:hAnsi="Arial"/>
          <w:sz w:val="20"/>
        </w:rPr>
        <w:t xml:space="preserve"> Official developer/project pages, RERA/authority records, operator announcements, audited or dated owner publications. Use for launch price, payment plan, handover, phase and sell-out evidence.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3. </w:t>
      </w:r>
      <w:r>
        <w:rPr>
          <w:rFonts w:ascii="Arial" w:hAnsi="Arial"/>
          <w:b/>
          <w:sz w:val="20"/>
        </w:rPr>
        <w:t>Tier 3 - Authorized commercial provider.</w:t>
      </w:r>
      <w:r>
        <w:rPr>
          <w:rFonts w:ascii="Arial" w:hAnsi="Arial"/>
          <w:sz w:val="20"/>
        </w:rPr>
        <w:t xml:space="preserve"> Property Finder, Bayut, DXB Interact, or other portals only through provider-approved access / reuse. Preserve provider methodology and do not duplicate-count DLD-origin events.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4. </w:t>
      </w:r>
      <w:r>
        <w:rPr>
          <w:rFonts w:ascii="Arial" w:hAnsi="Arial"/>
          <w:b/>
          <w:sz w:val="20"/>
        </w:rPr>
        <w:t>Tier 4 - Independent licensed mirror / research publisher.</w:t>
      </w:r>
      <w:r>
        <w:rPr>
          <w:rFonts w:ascii="Arial" w:hAnsi="Arial"/>
          <w:sz w:val="20"/>
        </w:rPr>
        <w:t xml:space="preserve"> Current Dubai transaction history is from Dubai Real Estate Data's DLD-derived dataset. Publisher declares CC BY 4.0. Keep that attribution and never call it a direct DLD export.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5. </w:t>
      </w:r>
      <w:r>
        <w:rPr>
          <w:rFonts w:ascii="Arial" w:hAnsi="Arial"/>
          <w:b/>
          <w:sz w:val="20"/>
        </w:rPr>
        <w:t>Tier 5 - Espacios-owned observation.</w:t>
      </w:r>
      <w:r>
        <w:rPr>
          <w:rFonts w:ascii="Arial" w:hAnsi="Arial"/>
          <w:sz w:val="20"/>
        </w:rPr>
        <w:t xml:space="preserve"> Internal captured asks, project catalogue snapshots, review decisions, mapping corrections, and derived metrics with immutable input references.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6. </w:t>
      </w:r>
      <w:r>
        <w:rPr>
          <w:rFonts w:ascii="Arial" w:hAnsi="Arial"/>
          <w:b/>
          <w:sz w:val="20"/>
        </w:rPr>
        <w:t>Tier 6 - Derived analytics.</w:t>
      </w:r>
      <w:r>
        <w:rPr>
          <w:rFonts w:ascii="Arial" w:hAnsi="Arial"/>
          <w:sz w:val="20"/>
        </w:rPr>
        <w:t xml:space="preserve"> Medians, indices, model inputs, scenario outputs and forecasts. Every derived value must reference the exact source vintage and transformation method.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4 Project-level workbook model and formulas</w:t>
      </w:r>
    </w:p>
    <w:p>
      <w:pPr>
        <w:keepNext/>
      </w:pPr>
      <w:r>
        <w:rPr>
          <w:rFonts w:ascii="Arial" w:hAnsi="Arial"/>
          <w:sz w:val="21"/>
        </w:rPr>
        <w:t xml:space="preserve">Current workbook artifact: </w:t>
      </w:r>
      <w:r>
        <w:rPr>
          <w:rFonts w:ascii="Courier New" w:hAnsi="Courier New"/>
          <w:sz w:val="20"/>
        </w:rPr>
        <w:t>ESPACIOS_PROJECT_LEVEL_PRICE_MODEL_2026-09-24.xlsx</w:t>
      </w:r>
      <w:r>
        <w:rPr>
          <w:rFonts w:ascii="Arial" w:hAnsi="Arial"/>
          <w:sz w:val="21"/>
        </w:rPr>
        <w:t>. It is an analytical handoff, not a live API or deployed map layer. Preserve all 17 existing tabs. The project model is additive.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Metric / field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Current coverage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Computation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Publication label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Current project ask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1,063 projects with usable ask in inventory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Recorded catalogue amount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Recorded asking price; not closed-sale price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Mapped Dubai history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704 projects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Conservative project/community to Dubai source-area crosswalk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Market-area history supporting context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Scenario-ready projects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528 projects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Requires current ask + mapped Dubai history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Project-level scenario eligible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Historical project-equivalent price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Only where ask + matched history exist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current ask × first area PSF ÷ latest area PSF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Modelled backcast; never "historical project sale"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Historical area CAGR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Mapped Dubai projects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(latest area PSF / first area PSF)^(1/years) − 1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Historical market-area trend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2027-2030 downside/base/upside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528 projects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Current ask compounded with scenario rates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Scenario, not approved forecast</w:t>
            </w:r>
          </w:p>
        </w:tc>
      </w:tr>
    </w:tbl>
    <w:p>
      <w:pPr>
        <w:spacing w:after="20"/>
      </w:pPr>
    </w:p>
    <w:p>
      <w:r>
        <w:rPr>
          <w:rFonts w:ascii="Arial" w:hAnsi="Arial"/>
          <w:sz w:val="21"/>
        </w:rPr>
        <w:t>The workbook currently has 0 verified project-specific numeric AED/sqft. The existing 912 project PSF fields are reference text, not verified subject-project PSF.</w:t>
      </w:r>
    </w:p>
    <w:p>
      <w:pPr>
        <w:pStyle w:val="Heading2"/>
      </w:pPr>
      <w:r>
        <w:rPr>
          <w:rFonts w:ascii="Arial" w:hAnsi="Arial"/>
          <w:b/>
          <w:color w:val="000000"/>
          <w:sz w:val="27"/>
        </w:rPr>
        <w:t>4.1 Current workbook scenario contract</w:t>
      </w:r>
    </w:p>
    <w:p>
      <w:pPr>
        <w:pStyle w:val="EspaciosCode"/>
        <w:keepLines/>
        <w:shd w:fill="F5F6F8"/>
      </w:pPr>
      <w:r>
        <w:rPr>
          <w:rFonts w:ascii="Courier New" w:hAnsi="Courier New"/>
          <w:sz w:val="17"/>
        </w:rPr>
        <w:t>base_rate = clamp(area_CAGR × 0.50, −3%, +8%)</w:t>
        <w:br/>
        <w:t>downside_rate = max(−10%, base_rate − 4 percentage points)</w:t>
        <w:br/>
        <w:t>upside_rate = min(+15%, base_rate + 4 percentage points)</w:t>
        <w:br/>
        <w:t>project_price(year+n) = current_project_ask × (1 + scenario_rate)^n</w:t>
        <w:br/>
        <w:t>historical_project_equivalent = current_project_ask × first_area_PSF / latest_area_PSF</w:t>
      </w:r>
    </w:p>
    <w:p>
      <w:r>
        <w:rPr>
          <w:rFonts w:ascii="Arial" w:hAnsi="Arial"/>
          <w:sz w:val="21"/>
        </w:rPr>
        <w:t>These constants are editable scenario design settings, not learned model parameters. They must not be published as a forecast methodology until the project-level model passes time-ordered validation against later observations and a baseline.</w:t>
      </w:r>
    </w:p>
    <w:p>
      <w:r>
        <w:rPr>
          <w:rFonts w:ascii="Arial" w:hAnsi="Arial"/>
          <w:sz w:val="21"/>
        </w:rPr>
        <w:t>Do not deploy the current Excel scenario outputs as predicted prices.</w:t>
      </w:r>
    </w:p>
    <w:p>
      <w:pPr>
        <w:pStyle w:val="Heading2"/>
      </w:pPr>
      <w:r>
        <w:rPr>
          <w:rFonts w:ascii="Arial" w:hAnsi="Arial"/>
          <w:b/>
          <w:color w:val="000000"/>
          <w:sz w:val="27"/>
        </w:rPr>
        <w:t>4.2 Evidence tiers</w:t>
      </w:r>
    </w:p>
    <w:p>
      <w:pPr>
        <w:pStyle w:val="ListBullet"/>
      </w:pPr>
      <w:r>
        <w:rPr>
          <w:rFonts w:ascii="Arial" w:hAnsi="Arial"/>
          <w:b/>
          <w:sz w:val="20"/>
        </w:rPr>
        <w:t>Tier A.</w:t>
      </w:r>
      <w:r>
        <w:rPr>
          <w:rFonts w:ascii="Arial" w:hAnsi="Arial"/>
          <w:sz w:val="20"/>
        </w:rPr>
        <w:t xml:space="preserve"> Current project ask + mapped Dubai market history. Eligible for current workbook backcast and scenario paths.</w:t>
      </w:r>
    </w:p>
    <w:p>
      <w:pPr>
        <w:pStyle w:val="ListBullet"/>
      </w:pPr>
      <w:r>
        <w:rPr>
          <w:rFonts w:ascii="Arial" w:hAnsi="Arial"/>
          <w:b/>
          <w:sz w:val="20"/>
        </w:rPr>
        <w:t>Tier B.</w:t>
      </w:r>
      <w:r>
        <w:rPr>
          <w:rFonts w:ascii="Arial" w:hAnsi="Arial"/>
          <w:sz w:val="20"/>
        </w:rPr>
        <w:t xml:space="preserve"> Mapped Dubai market history but no current project ask. History context exists. Project-price scenario remains blank.</w:t>
      </w:r>
    </w:p>
    <w:p>
      <w:pPr>
        <w:pStyle w:val="ListBullet"/>
      </w:pPr>
      <w:r>
        <w:rPr>
          <w:rFonts w:ascii="Arial" w:hAnsi="Arial"/>
          <w:b/>
          <w:sz w:val="20"/>
        </w:rPr>
        <w:t>Tier C.</w:t>
      </w:r>
      <w:r>
        <w:rPr>
          <w:rFonts w:ascii="Arial" w:hAnsi="Arial"/>
          <w:sz w:val="20"/>
        </w:rPr>
        <w:t xml:space="preserve"> Current project ask only. No defensible historical project mapping. Future scenario remains blank.</w:t>
      </w:r>
    </w:p>
    <w:p>
      <w:pPr>
        <w:pStyle w:val="ListBullet"/>
      </w:pPr>
      <w:r>
        <w:rPr>
          <w:rFonts w:ascii="Arial" w:hAnsi="Arial"/>
          <w:b/>
          <w:sz w:val="20"/>
        </w:rPr>
        <w:t>Tier D.</w:t>
      </w:r>
      <w:r>
        <w:rPr>
          <w:rFonts w:ascii="Arial" w:hAnsi="Arial"/>
          <w:sz w:val="20"/>
        </w:rPr>
        <w:t xml:space="preserve"> No project price anchor and no mapped Dubai history. Keep all project-price cells blank.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5 Required project-level source contract</w:t>
      </w:r>
    </w:p>
    <w:p>
      <w:pPr>
        <w:keepNext/>
      </w:pPr>
      <w:r>
        <w:rPr>
          <w:rFonts w:ascii="Arial" w:hAnsi="Arial"/>
          <w:sz w:val="21"/>
        </w:rPr>
        <w:t>Goal: replace area-level backcasts with actual project/building/unit evidence while preserving every source and transformation.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Entity / record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Acceptance requirement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Source document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source_id</w:t>
            </w:r>
            <w:r>
              <w:rPr>
                <w:rFonts w:ascii="Arial" w:hAnsi="Arial"/>
                <w:sz w:val="17"/>
              </w:rPr>
              <w:t xml:space="preserve">, publisher, authority, URL, licence URL, publication/effective date, </w:t>
            </w:r>
            <w:r>
              <w:rPr>
                <w:rFonts w:ascii="Courier New" w:hAnsi="Courier New"/>
                <w:sz w:val="18"/>
              </w:rPr>
              <w:t>checked_at</w:t>
            </w:r>
            <w:r>
              <w:rPr>
                <w:rFonts w:ascii="Arial" w:hAnsi="Arial"/>
                <w:sz w:val="17"/>
              </w:rPr>
              <w:t>, rights status, content hash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 publication unless reuse rights and intended use are recorded.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Project identity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project_id</w:t>
            </w:r>
            <w:r>
              <w:rPr>
                <w:rFonts w:ascii="Arial" w:hAnsi="Arial"/>
                <w:sz w:val="17"/>
              </w:rPr>
              <w:t>, authority/RERA ID, legal/project name, aliases, developer vehicle, parent developer, emirate, source area, community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Do not merge by similar name alone. Preserve raw source labels and match decision.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Unit / property identity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Stable unit/property ID where available, building/tower, floor, bedrooms, area basis, ownership share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Required for same-property repeat sales and exact project history.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Sale event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Transaction ID, registration type, transaction date, amount, matching area, property type/subtype, project/building label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Transaction amount and denominator must refer to the same registered subject.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Ask observation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Stable offer ID, first/last seen, effective date, asking amount, incentives, payment terms, availability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 changed unit, area, bedrooms, incentives, or payment timing is a changed offer until identity is resolved.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Rent contract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Contract ID, new/renewal, start/end dates, annual amount, property/unit count, compatible area, project identity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Needed before rent/sqft or observed yield can be published.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Operating cost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Service charge, OPEX, vacancy/collection loss, finance assumptions, acquisition/exit costs, dated basis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Required for net yield, cash flow and IRR. Assumptions must not masquerade as observed costs.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Delivery event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Original promised date, revised dates, construction progress, completion/operating date, delivered units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Needed for actual completion flow and developer on-time performance.</w:t>
            </w:r>
          </w:p>
        </w:tc>
      </w:tr>
    </w:tbl>
    <w:p>
      <w:pPr>
        <w:spacing w:after="20"/>
      </w:pPr>
    </w:p>
    <w:p>
      <w:r>
        <w:rPr>
          <w:rFonts w:ascii="Arial" w:hAnsi="Arial"/>
          <w:sz w:val="21"/>
        </w:rPr>
        <w:t>Every new project match must carry source IDs and match basis. Ambiguous remains ambiguous. Do not rewrite the Dubai historical source-area series into project history. Do not invent project-level rents, yields, service charges, available units, or delivery outcomes.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6 Ingestion, reconciliation, and QA pipeline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1. </w:t>
      </w:r>
      <w:r>
        <w:rPr>
          <w:rFonts w:ascii="Arial" w:hAnsi="Arial"/>
          <w:b/>
          <w:sz w:val="20"/>
        </w:rPr>
        <w:t>Acquire.</w:t>
      </w:r>
      <w:r>
        <w:rPr>
          <w:rFonts w:ascii="Arial" w:hAnsi="Arial"/>
          <w:sz w:val="20"/>
        </w:rPr>
        <w:t xml:space="preserve"> Use official/authorized source where possible. Save raw bytes and source metadata before transformation.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2. </w:t>
      </w:r>
      <w:r>
        <w:rPr>
          <w:rFonts w:ascii="Arial" w:hAnsi="Arial"/>
          <w:b/>
          <w:sz w:val="20"/>
        </w:rPr>
        <w:t>Archive immutable raw.</w:t>
      </w:r>
      <w:r>
        <w:rPr>
          <w:rFonts w:ascii="Arial" w:hAnsi="Arial"/>
          <w:sz w:val="20"/>
        </w:rPr>
        <w:t xml:space="preserve"> R2 path by source + acquisition date + dataset version. Record SHA-256/size and licence/rights note.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3. </w:t>
      </w:r>
      <w:r>
        <w:rPr>
          <w:rFonts w:ascii="Arial" w:hAnsi="Arial"/>
          <w:b/>
          <w:sz w:val="20"/>
        </w:rPr>
        <w:t>Normalize.</w:t>
      </w:r>
      <w:r>
        <w:rPr>
          <w:rFonts w:ascii="Arial" w:hAnsi="Arial"/>
          <w:sz w:val="20"/>
        </w:rPr>
        <w:t xml:space="preserve"> Standardize dates, amounts, units, property types, registration type, source area names, project/building names. Preserve raw values in parallel.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4. </w:t>
      </w:r>
      <w:r>
        <w:rPr>
          <w:rFonts w:ascii="Arial" w:hAnsi="Arial"/>
          <w:b/>
          <w:sz w:val="20"/>
        </w:rPr>
        <w:t>Entity resolution.</w:t>
      </w:r>
      <w:r>
        <w:rPr>
          <w:rFonts w:ascii="Arial" w:hAnsi="Arial"/>
          <w:sz w:val="20"/>
        </w:rPr>
        <w:t xml:space="preserve"> Resolve project, developer, building, and unit identities using authority IDs first, exact aliases second, explicit manual review third. No fuzzy auto-merge for publication.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5. </w:t>
      </w:r>
      <w:r>
        <w:rPr>
          <w:rFonts w:ascii="Arial" w:hAnsi="Arial"/>
          <w:b/>
          <w:sz w:val="20"/>
        </w:rPr>
        <w:t>Crosswalk geography.</w:t>
      </w:r>
      <w:r>
        <w:rPr>
          <w:rFonts w:ascii="Arial" w:hAnsi="Arial"/>
          <w:sz w:val="20"/>
        </w:rPr>
        <w:t xml:space="preserve"> Map registrar/source area to map polygon with match type and confidence. Do not treat a community centroid or strategy marker as a cadastral site.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6. </w:t>
      </w:r>
      <w:r>
        <w:rPr>
          <w:rFonts w:ascii="Arial" w:hAnsi="Arial"/>
          <w:b/>
          <w:sz w:val="20"/>
        </w:rPr>
        <w:t>Quality gates.</w:t>
      </w:r>
      <w:r>
        <w:rPr>
          <w:rFonts w:ascii="Arial" w:hAnsi="Arial"/>
          <w:sz w:val="20"/>
        </w:rPr>
        <w:t xml:space="preserve"> Unique IDs, amount/area arithmetic, positive values, date completeness, property-type consistency, duplicate lineage, sample thresholds, missing-value semantics.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7. </w:t>
      </w:r>
      <w:r>
        <w:rPr>
          <w:rFonts w:ascii="Arial" w:hAnsi="Arial"/>
          <w:b/>
          <w:sz w:val="20"/>
        </w:rPr>
        <w:t>Derived metrics.</w:t>
      </w:r>
      <w:r>
        <w:rPr>
          <w:rFonts w:ascii="Arial" w:hAnsi="Arial"/>
          <w:sz w:val="20"/>
        </w:rPr>
        <w:t xml:space="preserve"> Compute pooled medians/distributions from raw eligible records. Do not average medians when raw records exist.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8. </w:t>
      </w:r>
      <w:r>
        <w:rPr>
          <w:rFonts w:ascii="Arial" w:hAnsi="Arial"/>
          <w:b/>
          <w:sz w:val="20"/>
        </w:rPr>
        <w:t>Publication candidate.</w:t>
      </w:r>
      <w:r>
        <w:rPr>
          <w:rFonts w:ascii="Arial" w:hAnsi="Arial"/>
          <w:sz w:val="20"/>
        </w:rPr>
        <w:t xml:space="preserve"> Create versioned partitions + manifest + source cutoffs + counts + hashes + exclusions + rights summary.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9. </w:t>
      </w:r>
      <w:r>
        <w:rPr>
          <w:rFonts w:ascii="Arial" w:hAnsi="Arial"/>
          <w:b/>
          <w:sz w:val="20"/>
        </w:rPr>
        <w:t>Candidate QA.</w:t>
      </w:r>
      <w:r>
        <w:rPr>
          <w:rFonts w:ascii="Arial" w:hAnsi="Arial"/>
          <w:sz w:val="20"/>
        </w:rPr>
        <w:t xml:space="preserve"> Run backend contract tests, browser interaction tests, source inspector checks, no-data states, exports, mobile layout, stale-response protection.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10. </w:t>
      </w:r>
      <w:r>
        <w:rPr>
          <w:rFonts w:ascii="Arial" w:hAnsi="Arial"/>
          <w:b/>
          <w:sz w:val="20"/>
        </w:rPr>
        <w:t>Promote + smoke.</w:t>
      </w:r>
      <w:r>
        <w:rPr>
          <w:rFonts w:ascii="Arial" w:hAnsi="Arial"/>
          <w:sz w:val="20"/>
        </w:rPr>
        <w:t xml:space="preserve"> Deploy 0% candidate, verify, promote to 100%, rerun public smoke, write rollback record. Never delete raw evidence during rollback.</w:t>
      </w:r>
    </w:p>
    <w:p>
      <w:r>
        <w:rPr>
          <w:rFonts w:ascii="Arial" w:hAnsi="Arial"/>
          <w:sz w:val="21"/>
        </w:rPr>
        <w:t>The most important next engineering move is project-name/building matching against the 1,364,226 Dubai transaction records. Once that crosswalk is reliable, stop backcasting from area prices and start building real historical curves for individual projects.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7 Backend API and storage design</w:t>
      </w:r>
    </w:p>
    <w:p>
      <w:r>
        <w:rPr>
          <w:rFonts w:ascii="Arial" w:hAnsi="Arial"/>
          <w:sz w:val="21"/>
        </w:rPr>
        <w:t>Live historical APIs already in production:</w:t>
      </w:r>
    </w:p>
    <w:p>
      <w:pPr>
        <w:pStyle w:val="ListBullet"/>
      </w:pPr>
      <w:r>
        <w:rPr>
          <w:rFonts w:ascii="Courier New" w:hAnsi="Courier New"/>
          <w:sz w:val="19"/>
        </w:rPr>
        <w:t>/map/api/dubai-history-catalogue</w:t>
      </w:r>
    </w:p>
    <w:p>
      <w:pPr>
        <w:pStyle w:val="ListBullet"/>
      </w:pPr>
      <w:r>
        <w:rPr>
          <w:rFonts w:ascii="Courier New" w:hAnsi="Courier New"/>
          <w:sz w:val="19"/>
        </w:rPr>
        <w:t>/map/api/dubai-history?frequency=monthly&amp;segment=all&amp;registration=All</w:t>
      </w:r>
    </w:p>
    <w:p>
      <w:pPr>
        <w:pStyle w:val="ListBullet"/>
      </w:pPr>
      <w:r>
        <w:rPr>
          <w:rFonts w:ascii="Courier New" w:hAnsi="Courier New"/>
          <w:sz w:val="19"/>
        </w:rPr>
        <w:t>/map/api/history-catalogue</w:t>
      </w:r>
    </w:p>
    <w:p>
      <w:pPr>
        <w:pStyle w:val="ListBullet"/>
      </w:pPr>
      <w:r>
        <w:rPr>
          <w:rFonts w:ascii="Courier New" w:hAnsi="Courier New"/>
          <w:sz w:val="19"/>
        </w:rPr>
        <w:t>/map/api/research</w:t>
      </w:r>
    </w:p>
    <w:p>
      <w:pPr>
        <w:pStyle w:val="ListBullet"/>
      </w:pPr>
      <w:r>
        <w:rPr>
          <w:rFonts w:ascii="Courier New" w:hAnsi="Courier New"/>
          <w:sz w:val="19"/>
        </w:rPr>
        <w:t>/map/api/forecast-readiness</w:t>
      </w:r>
    </w:p>
    <w:p>
      <w:pPr>
        <w:pStyle w:val="Heading2"/>
        <w:keepNext/>
      </w:pPr>
      <w:r>
        <w:rPr>
          <w:rFonts w:ascii="Arial" w:hAnsi="Arial"/>
          <w:b/>
          <w:color w:val="000000"/>
          <w:sz w:val="27"/>
        </w:rPr>
        <w:t>7.1 Proposed additive project-level endpoints - not live yet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Rules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GET /map/api/project-intelligence-catalogue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Versions, metric IDs, source cutoffs, rights, project coverage, supported periods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 values. Manifest only.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GET /map/api/project-history?project_id=…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Observed project/building sale, ask, rent, supply and delivery history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Observed-only endpoint. No modelled backcast mixed in.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GET /map/api/project-scenario?project_id=…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Explicit downside/base/upside scenarios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Return assumptions and issue date. Label scenario, not forecast.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GET /map/api/project-forecast?project_id=…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Future model estimate after validation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Return null until the model is commercially approved for that metric/project/horizon.</w:t>
            </w:r>
          </w:p>
        </w:tc>
      </w:tr>
      <w:tr>
        <w:tc>
          <w:tcPr>
            <w:tcW w:type="dxa" w:w="244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GET /map/api/source/:source_id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Source card with URL, rights, checked date, hashes and transformations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Must be linkable from every displayed metric.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000000"/>
          <w:sz w:val="27"/>
        </w:rPr>
        <w:t>7.2 Storage layout</w:t>
      </w:r>
    </w:p>
    <w:p>
      <w:pPr>
        <w:pStyle w:val="EspaciosCode"/>
        <w:keepLines/>
        <w:shd w:fill="F5F6F8"/>
      </w:pPr>
      <w:r>
        <w:rPr>
          <w:rFonts w:ascii="Courier New" w:hAnsi="Courier New"/>
          <w:sz w:val="17"/>
        </w:rPr>
        <w:t>research/acquisition/YYYY-MM-DD/&lt;source&gt;/&lt;dataset-version&gt;/raw.*</w:t>
        <w:br/>
        <w:t>research/normalized/YYYY-MM-DD/&lt;dataset-version&gt;/...</w:t>
        <w:br/>
        <w:t>research/crosswalks/YYYY-MM-DD/project-entity-crosswalk.json</w:t>
        <w:br/>
        <w:t>research/derived/YYYY-MM-DD/project-history-vN/...</w:t>
        <w:br/>
        <w:t>research/published/YYYY-MM-DD/project-intelligence-vN/...</w:t>
        <w:br/>
        <w:t>releases/YYYY-MM-DD/project-intelligence-vN/...</w:t>
      </w:r>
    </w:p>
    <w:p>
      <w:r>
        <w:rPr>
          <w:rFonts w:ascii="Arial" w:hAnsi="Arial"/>
          <w:sz w:val="21"/>
        </w:rPr>
        <w:t>Existing relevant R2 roots:</w:t>
      </w:r>
    </w:p>
    <w:p>
      <w:pPr>
        <w:pStyle w:val="ListBullet"/>
      </w:pPr>
      <w:r>
        <w:rPr>
          <w:rFonts w:ascii="Courier New" w:hAnsi="Courier New"/>
          <w:sz w:val="19"/>
        </w:rPr>
        <w:t>research/acquisition/2026-09-23/historical-pull-v2/</w:t>
      </w:r>
    </w:p>
    <w:p>
      <w:pPr>
        <w:pStyle w:val="ListBullet"/>
      </w:pPr>
      <w:r>
        <w:rPr>
          <w:rFonts w:ascii="Courier New" w:hAnsi="Courier New"/>
          <w:sz w:val="19"/>
        </w:rPr>
        <w:t>research/derived/2026-09-23/dubai-price-history-v1/</w:t>
      </w:r>
    </w:p>
    <w:p>
      <w:pPr>
        <w:pStyle w:val="ListBullet"/>
      </w:pPr>
      <w:r>
        <w:rPr>
          <w:rFonts w:ascii="Courier New" w:hAnsi="Courier New"/>
          <w:sz w:val="19"/>
        </w:rPr>
        <w:t>research/published/2026-09-23/dubai-derived-history-v1/</w:t>
      </w:r>
    </w:p>
    <w:p>
      <w:pPr>
        <w:pStyle w:val="ListBullet"/>
      </w:pPr>
      <w:r>
        <w:rPr>
          <w:rFonts w:ascii="Courier New" w:hAnsi="Courier New"/>
          <w:sz w:val="19"/>
        </w:rPr>
        <w:t>releases/2026-09-23/dubai-history-research-v1/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8 Frontend timeline and project-profile integration</w:t>
      </w:r>
    </w:p>
    <w:p>
      <w:r>
        <w:rPr>
          <w:rFonts w:ascii="Arial" w:hAnsi="Arial"/>
          <w:sz w:val="21"/>
        </w:rPr>
        <w:t>Target structure for each project:</w:t>
      </w:r>
    </w:p>
    <w:p>
      <w:pPr>
        <w:pStyle w:val="EspaciosCode"/>
        <w:keepLines/>
        <w:shd w:fill="F5F6F8"/>
      </w:pPr>
      <w:r>
        <w:rPr>
          <w:rFonts w:ascii="Courier New" w:hAnsi="Courier New"/>
          <w:sz w:val="17"/>
        </w:rPr>
        <w:t>2019 -&gt; 2020 -&gt; ... -&gt; 2026 actual transactions / asks / rents</w:t>
        <w:br/>
        <w:t xml:space="preserve">  -&gt; Today</w:t>
        <w:br/>
        <w:t xml:space="preserve">  -&gt; 2027 scenario or approved forecast</w:t>
        <w:br/>
        <w:t xml:space="preserve">  -&gt; 2028</w:t>
        <w:br/>
        <w:t xml:space="preserve">  -&gt; 2029</w:t>
        <w:br/>
        <w:t xml:space="preserve">  -&gt; 2030</w:t>
      </w:r>
    </w:p>
    <w:p>
      <w:r>
        <w:rPr>
          <w:rFonts w:ascii="Arial" w:hAnsi="Arial"/>
          <w:sz w:val="21"/>
        </w:rPr>
        <w:t>Under every date, publish a metric only when that metric has actual support: sale AED/sqft, asking AED/sqft, average sale price, transaction count, transaction value, rent AED/sqft, gross yield, net yield, available units, absorption, days to sell, price cuts, service charges, and construction/delivery status. Missing periods remain blank.</w:t>
      </w:r>
    </w:p>
    <w:p>
      <w:pPr>
        <w:pStyle w:val="ListBullet"/>
      </w:pPr>
      <w:r>
        <w:rPr>
          <w:rFonts w:ascii="Arial" w:hAnsi="Arial"/>
          <w:b/>
          <w:sz w:val="20"/>
        </w:rPr>
        <w:t>Project profile header.</w:t>
      </w:r>
      <w:r>
        <w:rPr>
          <w:rFonts w:ascii="Arial" w:hAnsi="Arial"/>
          <w:sz w:val="20"/>
        </w:rPr>
        <w:t xml:space="preserve"> Show project name, developer, project status, evidence date, project ask, and evidence tier.</w:t>
      </w:r>
    </w:p>
    <w:p>
      <w:pPr>
        <w:pStyle w:val="ListBullet"/>
      </w:pPr>
      <w:r>
        <w:rPr>
          <w:rFonts w:ascii="Arial" w:hAnsi="Arial"/>
          <w:b/>
          <w:sz w:val="20"/>
        </w:rPr>
        <w:t>Metric selector.</w:t>
      </w:r>
      <w:r>
        <w:rPr>
          <w:rFonts w:ascii="Arial" w:hAnsi="Arial"/>
          <w:sz w:val="20"/>
        </w:rPr>
        <w:t xml:space="preserve"> Sale AED/sqft, asking AED/sqft, rent AED/sqft/year, gross yield, net yield, sales count, transaction value, available units, absorption, days to sell, service charges, delivery status.</w:t>
      </w:r>
    </w:p>
    <w:p>
      <w:pPr>
        <w:pStyle w:val="ListBullet"/>
      </w:pPr>
      <w:r>
        <w:rPr>
          <w:rFonts w:ascii="Arial" w:hAnsi="Arial"/>
          <w:b/>
          <w:sz w:val="20"/>
        </w:rPr>
        <w:t>Timeline.</w:t>
      </w:r>
      <w:r>
        <w:rPr>
          <w:rFonts w:ascii="Arial" w:hAnsi="Arial"/>
          <w:sz w:val="20"/>
        </w:rPr>
        <w:t xml:space="preserve"> Dates only where the selected metric has actual support. Missing periods remain blank. Separate HISTORY / FORECAST / SCENARIO / DELIVERY.</w:t>
      </w:r>
    </w:p>
    <w:p>
      <w:pPr>
        <w:pStyle w:val="ListBullet"/>
      </w:pPr>
      <w:r>
        <w:rPr>
          <w:rFonts w:ascii="Arial" w:hAnsi="Arial"/>
          <w:b/>
          <w:sz w:val="20"/>
        </w:rPr>
        <w:t>Observed history.</w:t>
      </w:r>
      <w:r>
        <w:rPr>
          <w:rFonts w:ascii="Arial" w:hAnsi="Arial"/>
          <w:sz w:val="20"/>
        </w:rPr>
        <w:t xml:space="preserve"> Use project/building history when source identity supports it. Fall back to area context only with an explicit "market-area reference" label.</w:t>
      </w:r>
    </w:p>
    <w:p>
      <w:pPr>
        <w:pStyle w:val="ListBullet"/>
      </w:pPr>
      <w:r>
        <w:rPr>
          <w:rFonts w:ascii="Arial" w:hAnsi="Arial"/>
          <w:b/>
          <w:sz w:val="20"/>
        </w:rPr>
        <w:t>Scenario path.</w:t>
      </w:r>
      <w:r>
        <w:rPr>
          <w:rFonts w:ascii="Arial" w:hAnsi="Arial"/>
          <w:sz w:val="20"/>
        </w:rPr>
        <w:t xml:space="preserve"> Dashed/secondary treatment with assumption panel. Never visually merge it into observed history.</w:t>
      </w:r>
    </w:p>
    <w:p>
      <w:pPr>
        <w:pStyle w:val="ListBullet"/>
      </w:pPr>
      <w:r>
        <w:rPr>
          <w:rFonts w:ascii="Arial" w:hAnsi="Arial"/>
          <w:b/>
          <w:sz w:val="20"/>
        </w:rPr>
        <w:t>Forecast path.</w:t>
      </w:r>
      <w:r>
        <w:rPr>
          <w:rFonts w:ascii="Arial" w:hAnsi="Arial"/>
          <w:sz w:val="20"/>
        </w:rPr>
        <w:t xml:space="preserve"> Only after approval. Show issue date, training cutoff, horizon, empirical error band, and model version.</w:t>
      </w:r>
    </w:p>
    <w:p>
      <w:pPr>
        <w:pStyle w:val="ListBullet"/>
      </w:pPr>
      <w:r>
        <w:rPr>
          <w:rFonts w:ascii="Arial" w:hAnsi="Arial"/>
          <w:b/>
          <w:sz w:val="20"/>
        </w:rPr>
        <w:t>Evidence inspector.</w:t>
      </w:r>
      <w:r>
        <w:rPr>
          <w:rFonts w:ascii="Arial" w:hAnsi="Arial"/>
          <w:sz w:val="20"/>
        </w:rPr>
        <w:t xml:space="preserve"> Every point opens source, period, sample, entity-match basis, transformation, rights/use status, and raw-vs-derived classification.</w:t>
      </w:r>
    </w:p>
    <w:p>
      <w:pPr>
        <w:pStyle w:val="ListBullet"/>
      </w:pPr>
      <w:r>
        <w:rPr>
          <w:rFonts w:ascii="Arial" w:hAnsi="Arial"/>
          <w:b/>
          <w:sz w:val="20"/>
        </w:rPr>
        <w:t>Map gradient.</w:t>
      </w:r>
      <w:r>
        <w:rPr>
          <w:rFonts w:ascii="Arial" w:hAnsi="Arial"/>
          <w:sz w:val="20"/>
        </w:rPr>
        <w:t xml:space="preserve"> Only color project geometry/point using a project-specific metric when verified. Area values stay on area polygons/surfaces.</w:t>
      </w:r>
    </w:p>
    <w:p>
      <w:r>
        <w:rPr>
          <w:rFonts w:ascii="Arial" w:hAnsi="Arial"/>
          <w:sz w:val="21"/>
        </w:rPr>
        <w:t>Selected project, date, and metric must map to the same evidence in the UI, the API, and the export.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9 Forecasting and scenario rules</w:t>
      </w:r>
    </w:p>
    <w:p>
      <w:pPr>
        <w:pStyle w:val="ListBullet"/>
      </w:pPr>
      <w:r>
        <w:rPr>
          <w:rFonts w:ascii="Arial" w:hAnsi="Arial"/>
          <w:sz w:val="20"/>
        </w:rPr>
        <w:t>Forecasts must be trained only on information available before the forecast origin. Retrospective full-vintage filters cannot be treated as point-in-time inputs without redesign.</w:t>
      </w:r>
    </w:p>
    <w:p>
      <w:pPr>
        <w:pStyle w:val="ListBullet"/>
      </w:pPr>
      <w:r>
        <w:rPr>
          <w:rFonts w:ascii="Arial" w:hAnsi="Arial"/>
          <w:sz w:val="20"/>
        </w:rPr>
        <w:t>Use rolling-origin / horizon-specific validation. Evaluate the same horizon that will be displayed to users.</w:t>
      </w:r>
    </w:p>
    <w:p>
      <w:pPr>
        <w:pStyle w:val="ListBullet"/>
      </w:pPr>
      <w:r>
        <w:rPr>
          <w:rFonts w:ascii="Arial" w:hAnsi="Arial"/>
          <w:sz w:val="20"/>
        </w:rPr>
        <w:t>Every complex model must beat a simple baseline (no-change / seasonal-naive / damped drift as appropriate).</w:t>
      </w:r>
    </w:p>
    <w:p>
      <w:pPr>
        <w:pStyle w:val="ListBullet"/>
      </w:pPr>
      <w:r>
        <w:rPr>
          <w:rFonts w:ascii="Arial" w:hAnsi="Arial"/>
          <w:sz w:val="20"/>
        </w:rPr>
        <w:t>Separate price, rent, supply, liquidity and delivery models. Do not use transaction-value growth as a property price forecast.</w:t>
      </w:r>
    </w:p>
    <w:p>
      <w:pPr>
        <w:pStyle w:val="ListBullet"/>
      </w:pPr>
      <w:r>
        <w:rPr>
          <w:rFonts w:ascii="Arial" w:hAnsi="Arial"/>
          <w:sz w:val="20"/>
        </w:rPr>
        <w:t>Project model should condition on property type, bedroom / size bands, lifecycle, project/building identity, location, and material quality attributes when available.</w:t>
      </w:r>
    </w:p>
    <w:p>
      <w:pPr>
        <w:pStyle w:val="ListBullet"/>
      </w:pPr>
      <w:r>
        <w:rPr>
          <w:rFonts w:ascii="Arial" w:hAnsi="Arial"/>
          <w:sz w:val="20"/>
        </w:rPr>
        <w:t>Catalyst/infrastructure effects require defensible treatment/control design. Never add a fixed metro/airport/museum uplift because an initiative exists.</w:t>
      </w:r>
    </w:p>
    <w:p>
      <w:pPr>
        <w:pStyle w:val="ListBullet"/>
      </w:pPr>
      <w:r>
        <w:rPr>
          <w:rFonts w:ascii="Arial" w:hAnsi="Arial"/>
          <w:sz w:val="20"/>
        </w:rPr>
        <w:t>Published output must expose model version, training cutoff, source vintage, horizon, sample support, interval/error definition, and approval status.</w:t>
      </w:r>
    </w:p>
    <w:p>
      <w:pPr>
        <w:pStyle w:val="ListBullet"/>
      </w:pPr>
      <w:r>
        <w:rPr>
          <w:rFonts w:ascii="Arial" w:hAnsi="Arial"/>
          <w:sz w:val="20"/>
        </w:rPr>
        <w:t>Until those gates pass, future numeric project values remain SCENARIOS, not PREDICTIONS or VALUATIONS.</w:t>
      </w:r>
    </w:p>
    <w:p>
      <w:pPr>
        <w:pStyle w:val="Heading1"/>
        <w:keepNext/>
      </w:pPr>
      <w:r>
        <w:rPr>
          <w:rFonts w:ascii="Arial" w:hAnsi="Arial"/>
          <w:b/>
          <w:color w:val="000000"/>
          <w:sz w:val="34"/>
        </w:rPr>
        <w:t>10 What is missing and acquisition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Missing capability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Required evidence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P0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Verified project-specific AED/sqft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Replaces area-level backcast with actual project evidence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Project/building transaction match + compatible area denominator + project identity.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P0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Same-property repeat-sales identity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Allows true same-asset appreciation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Stable unit/property ID, repeated eligible sales, ownership-share/material-change review.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P0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Raw Ejari / project rents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Enables project-level rent PSF and observed yield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Authorized rental microdata with project/unit identity and compatible area.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P0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Authorized PF/Bayut/DXB feeds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Adds listing/resale liquidity and corroboration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Provider-approved access, terms, stable listing identity, dated observations.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P1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Same-offer price revision ledger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Measures launch-to-current ask and price cuts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Stable offer ID, revisions, incentives, availability, terms.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P1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Unit inventory / absorption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Measures competing supply and sell-through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Units launched, available, reserved/sold, completions, cancellations, dates.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P1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Service charges / OPEX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Converts gross yield into net yield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Dated charges, denominator, vacancy/collection loss, operating costs.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P1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Developer delivery history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Measures delivery performance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Original promise, revised dates, actual completion, units, project cohort.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P1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Non-Dubai project history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Creates UAE-wide project coverage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Equivalent local sales/rent evidence for Abu Dhabi, Sharjah, RAK, Ajman, UAQ, Fujairah.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P2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Constant-quality index / hedonic controls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Separates market movement from changing mix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Stable attributes, fixed-mix or hedonic/repeat-sales methodology.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P2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Causal catalyst effect research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Makes infrastructure impact defensible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Verified geometry, treatment/control cohorts, transaction history, competing supply controls.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000000"/>
          <w:sz w:val="27"/>
        </w:rPr>
        <w:t>10.1 Gap detail the next engineer must not collapse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1. </w:t>
      </w:r>
      <w:r>
        <w:rPr>
          <w:rFonts w:ascii="Arial" w:hAnsi="Arial"/>
          <w:b/>
          <w:sz w:val="20"/>
        </w:rPr>
        <w:t>Actual project-level historical transactions.</w:t>
      </w:r>
      <w:r>
        <w:rPr>
          <w:rFonts w:ascii="Arial" w:hAnsi="Arial"/>
          <w:sz w:val="20"/>
        </w:rPr>
        <w:t xml:space="preserve"> Each DLD transaction must be reliably matched to the exact project/building, with transaction date, price, registered area, property type, bedrooms and project identity. Verified project-specific numeric AED/sqft is currently 0.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2. </w:t>
      </w:r>
      <w:r>
        <w:rPr>
          <w:rFonts w:ascii="Arial" w:hAnsi="Arial"/>
          <w:b/>
          <w:sz w:val="20"/>
        </w:rPr>
        <w:t>Same-property / same-unit repeat sales.</w:t>
      </w:r>
      <w:r>
        <w:rPr>
          <w:rFonts w:ascii="Arial" w:hAnsi="Arial"/>
          <w:sz w:val="20"/>
        </w:rPr>
        <w:t xml:space="preserve"> Transaction IDs exist. Stable property identities linking repeated sales do not. The system cannot yet say "Unit X sold for a recorded amount in year A and a recorded amount in year B."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3. </w:t>
      </w:r>
      <w:r>
        <w:rPr>
          <w:rFonts w:ascii="Arial" w:hAnsi="Arial"/>
          <w:b/>
          <w:sz w:val="20"/>
        </w:rPr>
        <w:t>Historical project asking-price revisions.</w:t>
      </w:r>
      <w:r>
        <w:rPr>
          <w:rFonts w:ascii="Arial" w:hAnsi="Arial"/>
          <w:sz w:val="20"/>
        </w:rPr>
        <w:t xml:space="preserve"> Current project asks and an archived baseline exist. A launch, revision, sold-out, and resale price ledger does not. The 1,063 current asks are not 1,063 historical price series.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4. </w:t>
      </w:r>
      <w:r>
        <w:rPr>
          <w:rFonts w:ascii="Arial" w:hAnsi="Arial"/>
          <w:b/>
          <w:sz w:val="20"/>
        </w:rPr>
        <w:t>Project-level rental history.</w:t>
      </w:r>
      <w:r>
        <w:rPr>
          <w:rFonts w:ascii="Arial" w:hAnsi="Arial"/>
          <w:sz w:val="20"/>
        </w:rPr>
        <w:t xml:space="preserve"> The 180-month Dubai rental history is aggregate. It is not raw project-level Ejari. Project rent AED/sqft requires contract-level annual rent, new versus renewal, unit size, and date.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5. </w:t>
      </w:r>
      <w:r>
        <w:rPr>
          <w:rFonts w:ascii="Arial" w:hAnsi="Arial"/>
          <w:b/>
          <w:sz w:val="20"/>
        </w:rPr>
        <w:t>Real project yields.</w:t>
      </w:r>
      <w:r>
        <w:rPr>
          <w:rFonts w:ascii="Arial" w:hAnsi="Arial"/>
          <w:sz w:val="20"/>
        </w:rPr>
        <w:t xml:space="preserve"> Historical gross and net yields need matched rents, sale prices, service charges, vacancy, operating expenses and recurring costs. Current holdings are projected gross-yield references for selected areas.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6. </w:t>
      </w:r>
      <w:r>
        <w:rPr>
          <w:rFonts w:ascii="Arial" w:hAnsi="Arial"/>
          <w:b/>
          <w:sz w:val="20"/>
        </w:rPr>
        <w:t>Unit supply and absorption per project.</w:t>
      </w:r>
      <w:r>
        <w:rPr>
          <w:rFonts w:ascii="Arial" w:hAnsi="Arial"/>
          <w:sz w:val="20"/>
        </w:rPr>
        <w:t xml:space="preserve"> Required: units launched, units sold, available units, resale listings, cancellations and actual take-up through time. Project count is not available inventory. Transaction count is not net absorption.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7. </w:t>
      </w:r>
      <w:r>
        <w:rPr>
          <w:rFonts w:ascii="Arial" w:hAnsi="Arial"/>
          <w:b/>
          <w:sz w:val="20"/>
        </w:rPr>
        <w:t>Liquidity measures.</w:t>
      </w:r>
      <w:r>
        <w:rPr>
          <w:rFonts w:ascii="Arial" w:hAnsi="Arial"/>
          <w:sz w:val="20"/>
        </w:rPr>
        <w:t xml:space="preserve"> Missing project-level days-to-sell, days-to-let, listing age, price reductions, asking-to-sale discount and resale velocity. These require a stable listing/event ledger.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8. </w:t>
      </w:r>
      <w:r>
        <w:rPr>
          <w:rFonts w:ascii="Arial" w:hAnsi="Arial"/>
          <w:b/>
          <w:sz w:val="20"/>
        </w:rPr>
        <w:t>Developer delivery history.</w:t>
      </w:r>
      <w:r>
        <w:rPr>
          <w:rFonts w:ascii="Arial" w:hAnsi="Arial"/>
          <w:sz w:val="20"/>
        </w:rPr>
        <w:t xml:space="preserve"> Original promised completion versus actual completion, construction-progress observations and delivered units. Lifetime deliveries and on-time-delivery rate fields are currently unpopulated.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9. </w:t>
      </w:r>
      <w:r>
        <w:rPr>
          <w:rFonts w:ascii="Arial" w:hAnsi="Arial"/>
          <w:b/>
          <w:sz w:val="20"/>
        </w:rPr>
        <w:t>A proper project forecasting model.</w:t>
      </w:r>
      <w:r>
        <w:rPr>
          <w:rFonts w:ascii="Arial" w:hAnsi="Arial"/>
          <w:sz w:val="20"/>
        </w:rPr>
        <w:t xml:space="preserve"> The 2027-2030 downside/base/upside values are transparent scenarios. Predictions require chronological training, out-of-sample testing, project attributes, local history, forecast-error statistics and uncertainty ranges. No calibrated project/community price forecast is approved.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10. </w:t>
      </w:r>
      <w:r>
        <w:rPr>
          <w:rFonts w:ascii="Arial" w:hAnsi="Arial"/>
          <w:b/>
          <w:sz w:val="20"/>
        </w:rPr>
        <w:t>Financial history outside Dubai.</w:t>
      </w:r>
      <w:r>
        <w:rPr>
          <w:rFonts w:ascii="Arial" w:hAnsi="Arial"/>
          <w:sz w:val="20"/>
        </w:rPr>
        <w:t xml:space="preserve"> Dubai is the strongest pricing dataset. Ajman has useful activity/registry history. Abu Dhabi, Sharjah, RAK, UAQ and Fujairah still lack comparable project-level historical price/rent coverage. Do not fill those cells from Dubai.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11. </w:t>
      </w:r>
      <w:r>
        <w:rPr>
          <w:rFonts w:ascii="Arial" w:hAnsi="Arial"/>
          <w:b/>
          <w:sz w:val="20"/>
        </w:rPr>
        <w:t>Better project attributes for quality adjustment.</w:t>
      </w:r>
      <w:r>
        <w:rPr>
          <w:rFonts w:ascii="Arial" w:hAnsi="Arial"/>
          <w:sz w:val="20"/>
        </w:rPr>
        <w:t xml:space="preserve"> Consistent unit size, bedrooms, floor, view, furnishing, waterfront/golf exposure, building age, branded status, unit type and construction stage. Without these, a changing unit mix can be misread as price growth.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12. </w:t>
      </w:r>
      <w:r>
        <w:rPr>
          <w:rFonts w:ascii="Arial" w:hAnsi="Arial"/>
          <w:b/>
          <w:sz w:val="20"/>
        </w:rPr>
        <w:t>Infrastructure impact evidence.</w:t>
      </w:r>
      <w:r>
        <w:rPr>
          <w:rFonts w:ascii="Arial" w:hAnsi="Arial"/>
          <w:sz w:val="20"/>
        </w:rPr>
        <w:t xml:space="preserve"> The catalyst register and future milestones exist. Defensible causal price-uplift percentages for "near metro", "near airport", or "near Wynn" do not. Those require geographic exposure plus treatment/control transaction analysis.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13. </w:t>
      </w:r>
      <w:r>
        <w:rPr>
          <w:rFonts w:ascii="Arial" w:hAnsi="Arial"/>
          <w:b/>
          <w:sz w:val="20"/>
        </w:rPr>
        <w:t>Authorized portal feeds.</w:t>
      </w:r>
      <w:r>
        <w:rPr>
          <w:rFonts w:ascii="Arial" w:hAnsi="Arial"/>
          <w:sz w:val="20"/>
        </w:rPr>
        <w:t xml:space="preserve"> Property Finder, Bayut and DXB Interact remain references/corroboration. They are not connected bulk feeds. Every external provider acquisition must document access and rights before commercial publication.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11 Release, testing, rollback, and observability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1. </w:t>
      </w:r>
      <w:r>
        <w:rPr>
          <w:rFonts w:ascii="Arial" w:hAnsi="Arial"/>
          <w:sz w:val="20"/>
        </w:rPr>
        <w:t>Before any deployment, re-read the currently active Worker deployment and bindings. Do not deploy from a stale handoff assumption.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2. </w:t>
      </w:r>
      <w:r>
        <w:rPr>
          <w:rFonts w:ascii="Arial" w:hAnsi="Arial"/>
          <w:sz w:val="20"/>
        </w:rPr>
        <w:t>Create a new versioned R2 publication prefix. Never overwrite raw acquisition files or the existing Dubai historical partitions.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3. </w:t>
      </w:r>
      <w:r>
        <w:rPr>
          <w:rFonts w:ascii="Arial" w:hAnsi="Arial"/>
          <w:sz w:val="20"/>
        </w:rPr>
        <w:t>Stage a candidate at 0% traffic. Verify exact asset version / response headers so tests cannot accidentally hit production.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4. </w:t>
      </w:r>
      <w:r>
        <w:rPr>
          <w:rFonts w:ascii="Arial" w:hAnsi="Arial"/>
          <w:sz w:val="20"/>
        </w:rPr>
        <w:t>Backend contract tests: parameter validation, source preservation, rights/approval flags, missing partitions, project identity, no cross-emirate fallback, and cache versioning.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5. </w:t>
      </w:r>
      <w:r>
        <w:rPr>
          <w:rFonts w:ascii="Arial" w:hAnsi="Arial"/>
          <w:sz w:val="20"/>
        </w:rPr>
        <w:t>Frontend tests: direct drag, period switching, source inspector, project detail, no-data states, historical vs scenario styling, mobile, theme, export, stale-request cancellation, fixed camera.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6. </w:t>
      </w:r>
      <w:r>
        <w:rPr>
          <w:rFonts w:ascii="Arial" w:hAnsi="Arial"/>
          <w:sz w:val="20"/>
        </w:rPr>
        <w:t>Public smoke after promotion: live HTML asset, project endpoint, source endpoint, timeline state, sample project arithmetic, map counts, no console/runtime errors.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7. </w:t>
      </w:r>
      <w:r>
        <w:rPr>
          <w:rFonts w:ascii="Arial" w:hAnsi="Arial"/>
          <w:sz w:val="20"/>
        </w:rPr>
        <w:t>Observability: deployment ID, source manifest hash, data version, project coverage count, rejected/missing matches, API latency/error rate, stale source count, model approval count.</w:t>
      </w:r>
    </w:p>
    <w:p>
      <w:pPr>
        <w:spacing w:after="60"/>
        <w:ind w:left="432" w:hanging="317"/>
      </w:pPr>
      <w:r>
        <w:rPr>
          <w:rFonts w:ascii="Arial" w:hAnsi="Arial"/>
          <w:sz w:val="20"/>
        </w:rPr>
        <w:t xml:space="preserve">8. </w:t>
      </w:r>
      <w:r>
        <w:rPr>
          <w:rFonts w:ascii="Arial" w:hAnsi="Arial"/>
          <w:sz w:val="20"/>
        </w:rPr>
        <w:t>Rollback code by assigning traffic to a known-good Worker version. Rollback data by manifest/prefix selection. Code rollback does not automatically restore mutable R2/D1 data.</w:t>
      </w:r>
    </w:p>
    <w:p>
      <w:pPr>
        <w:pStyle w:val="Heading1"/>
        <w:keepNext/>
      </w:pPr>
      <w:r>
        <w:rPr>
          <w:rFonts w:ascii="Arial" w:hAnsi="Arial"/>
          <w:b/>
          <w:color w:val="000000"/>
          <w:sz w:val="34"/>
        </w:rPr>
        <w:t>12 Engineering work plan and acceptance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Engineering work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Definition of done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May be called live when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1. Source foundation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Acquire/authorize project/building sales, raw rents, listing histories. Create source registry and rights ledger.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Raw archives hashed. Dataset-specific rights reviewed. Source IDs immutable.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 source is represented beyond its actual authority, period, scope, or reuse rights.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2. Identity crosswalk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Project/building/unit entity resolution across catalogue, transaction, rent and listing sources.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Authority IDs where available. Aliases reviewed. Unmatched/ambiguous explicit.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 project timeline never inherits another project's records through fuzzy matching.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3. Observed project history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Publish exact project-level sales/asks/rents/supply where identity supports it.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Observed-only API + evidence inspector. No modelled values mixed into history.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Historical project curves are backed by exact source records or clearly labelled project-group aggregates.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4. Model research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Build and validate price/rent/supply/liquidity models.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Rolling-origin tests, baseline comparison, horizon errors, model versioning, approval matrix.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Only eligible project/metric/horizon combinations return non-null forecast.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5. Frontend integration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Add project-level timeline, source cards, observed/scenario/forecast separation.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Desktop/mobile QA. Exports retain source IDs and dates.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Selected project/date/metric maps to the same evidence in UI, API and export.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6. Production release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0% candidate, then acceptance, then 100%, then smoke + handoff.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Version manifest, rollback pointer, source cutoff, QA report and hashes recorded.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Current deployment and published data manifest are reproducible from the handoff.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000000"/>
          <w:sz w:val="27"/>
        </w:rPr>
        <w:t>Handoff checklist for the next engineer</w:t>
      </w:r>
    </w:p>
    <w:p>
      <w:pPr>
        <w:spacing w:after="60"/>
        <w:ind w:left="403" w:hanging="259"/>
      </w:pPr>
      <w:r>
        <w:rPr>
          <w:rFonts w:ascii="Arial" w:hAnsi="Arial"/>
          <w:sz w:val="21"/>
        </w:rPr>
        <w:t xml:space="preserve">[ ]  </w:t>
      </w:r>
      <w:r>
        <w:rPr>
          <w:rFonts w:ascii="Arial" w:hAnsi="Arial"/>
          <w:sz w:val="20"/>
        </w:rPr>
        <w:t>Confirm Cloudflare active Worker version before touching source.</w:t>
      </w:r>
    </w:p>
    <w:p>
      <w:pPr>
        <w:spacing w:after="60"/>
        <w:ind w:left="403" w:hanging="259"/>
      </w:pPr>
      <w:r>
        <w:rPr>
          <w:rFonts w:ascii="Arial" w:hAnsi="Arial"/>
          <w:sz w:val="21"/>
        </w:rPr>
        <w:t xml:space="preserve">[ ]  </w:t>
      </w:r>
      <w:r>
        <w:rPr>
          <w:rFonts w:ascii="Arial" w:hAnsi="Arial"/>
          <w:sz w:val="20"/>
        </w:rPr>
        <w:t>Open the latest workbook and preserve all 17 existing tabs. Project model is additive.</w:t>
      </w:r>
    </w:p>
    <w:p>
      <w:pPr>
        <w:spacing w:after="60"/>
        <w:ind w:left="403" w:hanging="259"/>
      </w:pPr>
      <w:r>
        <w:rPr>
          <w:rFonts w:ascii="Arial" w:hAnsi="Arial"/>
          <w:sz w:val="21"/>
        </w:rPr>
        <w:t xml:space="preserve">[ ]  </w:t>
      </w:r>
      <w:r>
        <w:rPr>
          <w:rFonts w:ascii="Arial" w:hAnsi="Arial"/>
          <w:sz w:val="20"/>
        </w:rPr>
        <w:t>Do not deploy the current Excel scenario outputs as predicted prices.</w:t>
      </w:r>
    </w:p>
    <w:p>
      <w:pPr>
        <w:spacing w:after="60"/>
        <w:ind w:left="403" w:hanging="259"/>
      </w:pPr>
      <w:r>
        <w:rPr>
          <w:rFonts w:ascii="Arial" w:hAnsi="Arial"/>
          <w:sz w:val="21"/>
        </w:rPr>
        <w:t xml:space="preserve">[ ]  </w:t>
      </w:r>
      <w:r>
        <w:rPr>
          <w:rFonts w:ascii="Arial" w:hAnsi="Arial"/>
          <w:sz w:val="20"/>
        </w:rPr>
        <w:t>Do not rewrite the Dubai historical source-area series into project history.</w:t>
      </w:r>
    </w:p>
    <w:p>
      <w:pPr>
        <w:spacing w:after="60"/>
        <w:ind w:left="403" w:hanging="259"/>
      </w:pPr>
      <w:r>
        <w:rPr>
          <w:rFonts w:ascii="Arial" w:hAnsi="Arial"/>
          <w:sz w:val="21"/>
        </w:rPr>
        <w:t xml:space="preserve">[ ]  </w:t>
      </w:r>
      <w:r>
        <w:rPr>
          <w:rFonts w:ascii="Arial" w:hAnsi="Arial"/>
          <w:sz w:val="20"/>
        </w:rPr>
        <w:t>Do not invent project-level rents, yields, service charges, available units, or delivery outcomes.</w:t>
      </w:r>
    </w:p>
    <w:p>
      <w:pPr>
        <w:spacing w:after="60"/>
        <w:ind w:left="403" w:hanging="259"/>
      </w:pPr>
      <w:r>
        <w:rPr>
          <w:rFonts w:ascii="Arial" w:hAnsi="Arial"/>
          <w:sz w:val="21"/>
        </w:rPr>
        <w:t xml:space="preserve">[ ]  </w:t>
      </w:r>
      <w:r>
        <w:rPr>
          <w:rFonts w:ascii="Arial" w:hAnsi="Arial"/>
          <w:sz w:val="20"/>
        </w:rPr>
        <w:t>Every new project match must carry source IDs and match basis. Ambiguous remains ambiguous.</w:t>
      </w:r>
    </w:p>
    <w:p>
      <w:pPr>
        <w:spacing w:after="60"/>
        <w:ind w:left="403" w:hanging="259"/>
      </w:pPr>
      <w:r>
        <w:rPr>
          <w:rFonts w:ascii="Arial" w:hAnsi="Arial"/>
          <w:sz w:val="21"/>
        </w:rPr>
        <w:t xml:space="preserve">[ ]  </w:t>
      </w:r>
      <w:r>
        <w:rPr>
          <w:rFonts w:ascii="Arial" w:hAnsi="Arial"/>
          <w:sz w:val="20"/>
        </w:rPr>
        <w:t>Every external provider acquisition must document access/rights before commercial publication.</w:t>
      </w:r>
    </w:p>
    <w:p>
      <w:pPr>
        <w:spacing w:after="60"/>
        <w:ind w:left="403" w:hanging="259"/>
      </w:pPr>
      <w:r>
        <w:rPr>
          <w:rFonts w:ascii="Arial" w:hAnsi="Arial"/>
          <w:sz w:val="21"/>
        </w:rPr>
        <w:t xml:space="preserve">[ ]  </w:t>
      </w:r>
      <w:r>
        <w:rPr>
          <w:rFonts w:ascii="Arial" w:hAnsi="Arial"/>
          <w:sz w:val="20"/>
        </w:rPr>
        <w:t>Every deployment must create a release manifest tying code version to data version and QA results.</w:t>
      </w:r>
    </w:p>
    <w:p>
      <w:pPr>
        <w:pStyle w:val="Heading1"/>
        <w:keepNext/>
      </w:pPr>
      <w:r>
        <w:rPr>
          <w:rFonts w:ascii="Arial" w:hAnsi="Arial"/>
          <w:b/>
          <w:color w:val="000000"/>
          <w:sz w:val="34"/>
        </w:rPr>
        <w:t>Appendix A. Exact source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Source / file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What it supports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2033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Important boundary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S1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ESPACIOS_PROJECT_LEVEL_PRICE_MODEL_2026-09-24.xlsx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Current project inventory, project-level evidence tiers, scenario inputs, 2027-2030 scenario paths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Workbook only. 528 scenario-ready projects. No approved forecast.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S2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ESPACIOS_DUBAI_HISTORY_DEPLOYMENT_2026-09-23.md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Live version 145 historical release behavior, APIs, tests, rollback context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Historical release. Not the later workbook enrichment.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S3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ESPACIOS_HISTORICAL_RESEARCH_2026-09-23.md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Source decisions, classification QA, 704,429 residential analytical rows, geography rules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Independent DLD-derived source. Not a direct government export.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S4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ESPACIOS_HISTORICAL_DATA_PULL_RECEIPT_2026-09-23.md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Raw acquisition counts, hashes, storage prefixes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Publication/use rights remain dataset-specific.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S5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ESPACIOS_DATA_ENRICHMENT_PLAN_2026-09-23.md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Metric catalogue, identity/price-history rules, acquisition plan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Planning document. Not proof that every metric is populated.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S6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ESPACIOS_MAP_MASTER_BRIEF_2026-09-22.md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Full-stack architecture, bindings, route inventory, product ownership, QA cautions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Older deployment numbers are superseded by current Cloudflare state.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S7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Courier New" w:hAnsi="Courier New"/>
                <w:sz w:val="18"/>
              </w:rPr>
              <w:t>ESPACIOS_FORECAST_RELEASE_2026-09-22.md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Forecast readiness gates, evidence workspace, model validation boundaries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 project price/rent forecast published. Version 145 supersedes its deployment state.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S8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Dubai Real Estate Data - DLD-derived sales dataset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1,364,226 sale rows and descriptive price history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Independent publisher. Publisher declares CC BY 4.0. Not a direct DLD export or certified valuation.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S9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Bayut H1 2026 Dubai / Abu Dhabi sales reports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41 stored asking-PSF / gross-yield reference rows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Advertised/area-type reference. Not project-level closed-sale valuation.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S10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Ajman Open Data datasets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Official registry/activity histories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F2FA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Grouped/snapshot data. Do not infer missing values as zero or convert activity into PSF without a denominator.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S11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ADREC H1 2026 report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Abu Dhabi report indicators and supply outlook</w:t>
            </w:r>
          </w:p>
        </w:tc>
        <w:tc>
          <w:tcPr>
            <w:tcW w:type="dxa" w:w="25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Emirate/type context only. Not microdata or a project forecast.</w:t>
            </w:r>
          </w:p>
        </w:tc>
      </w:tr>
    </w:tbl>
    <w:p>
      <w:pPr>
        <w:spacing w:after="20"/>
      </w:pPr>
    </w:p>
    <w:p>
      <w:r>
        <w:rPr>
          <w:rFonts w:ascii="Arial" w:hAnsi="Arial"/>
          <w:sz w:val="21"/>
        </w:rPr>
        <w:t>Primary source names retained in the evidence layer. Exact URLs, licence text, content hashes, and checked dates must travel with each published datapoint. Do not replace a named source below with a guessed URL.</w:t>
      </w:r>
    </w:p>
    <w:p>
      <w:pPr>
        <w:pStyle w:val="ListBullet"/>
      </w:pPr>
      <w:r>
        <w:rPr>
          <w:rFonts w:ascii="Arial" w:hAnsi="Arial"/>
          <w:sz w:val="20"/>
        </w:rPr>
        <w:t>DLD open data</w:t>
      </w:r>
    </w:p>
    <w:p>
      <w:pPr>
        <w:pStyle w:val="ListBullet"/>
      </w:pPr>
      <w:r>
        <w:rPr>
          <w:rFonts w:ascii="Arial" w:hAnsi="Arial"/>
          <w:sz w:val="20"/>
        </w:rPr>
        <w:t>Dubai Real Estate Data sales dataset</w:t>
      </w:r>
    </w:p>
    <w:p>
      <w:pPr>
        <w:pStyle w:val="ListBullet"/>
      </w:pPr>
      <w:r>
        <w:rPr>
          <w:rFonts w:ascii="Arial" w:hAnsi="Arial"/>
          <w:sz w:val="20"/>
        </w:rPr>
        <w:t>Dubai Real Estate Data methodology</w:t>
      </w:r>
    </w:p>
    <w:p>
      <w:pPr>
        <w:pStyle w:val="ListBullet"/>
      </w:pPr>
      <w:r>
        <w:rPr>
          <w:rFonts w:ascii="Arial" w:hAnsi="Arial"/>
          <w:sz w:val="20"/>
        </w:rPr>
        <w:t>Dubai rental charts</w:t>
      </w:r>
    </w:p>
    <w:p>
      <w:pPr>
        <w:pStyle w:val="ListBullet"/>
      </w:pPr>
      <w:r>
        <w:rPr>
          <w:rFonts w:ascii="Arial" w:hAnsi="Arial"/>
          <w:sz w:val="20"/>
        </w:rPr>
        <w:t>Bayut Dubai H1 2026</w:t>
      </w:r>
    </w:p>
    <w:p>
      <w:pPr>
        <w:pStyle w:val="ListBullet"/>
      </w:pPr>
      <w:r>
        <w:rPr>
          <w:rFonts w:ascii="Arial" w:hAnsi="Arial"/>
          <w:sz w:val="20"/>
        </w:rPr>
        <w:t>Bayut Abu Dhabi H1 2026</w:t>
      </w:r>
    </w:p>
    <w:p>
      <w:pPr>
        <w:pStyle w:val="ListBullet"/>
      </w:pPr>
      <w:r>
        <w:rPr>
          <w:rFonts w:ascii="Arial" w:hAnsi="Arial"/>
          <w:sz w:val="20"/>
        </w:rPr>
        <w:t>ADREC H1 2026 report</w:t>
      </w:r>
    </w:p>
    <w:p>
      <w:pPr>
        <w:pStyle w:val="ListBullet"/>
      </w:pPr>
      <w:r>
        <w:rPr>
          <w:rFonts w:ascii="Arial" w:hAnsi="Arial"/>
          <w:sz w:val="20"/>
        </w:rPr>
        <w:t>Forecast validation reference</w:t>
      </w:r>
    </w:p>
    <w:p>
      <w:pPr>
        <w:pStyle w:val="Heading1"/>
      </w:pPr>
      <w:r>
        <w:rPr>
          <w:rFonts w:ascii="Arial" w:hAnsi="Arial"/>
          <w:b/>
          <w:color w:val="000000"/>
          <w:sz w:val="34"/>
        </w:rPr>
        <w:t>Appendix B. Current live endpoints and artifacts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https://espacios.me/map/api/research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https://espacios.me/map/api/dubai-history-catalogue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https://espacios.me/map/api/dubai-history?frequency=monthly&amp;segment=all&amp;registration=All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https://espacios.me/map/api/history-catalogue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https://espacios.me/map/api/history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https://espacios.me/map/api/price-events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https://espacios.me/map/api/forecast-readiness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https://espacios.me/map/api/intelligence</w:t>
      </w:r>
    </w:p>
    <w:p>
      <w:pPr>
        <w:pStyle w:val="ListBullet"/>
      </w:pPr>
      <w:r>
        <w:rPr>
          <w:rFonts w:ascii="Arial" w:hAnsi="Arial"/>
          <w:color w:val="2449A8"/>
          <w:sz w:val="20"/>
          <w:u w:val="single"/>
        </w:rPr>
        <w:t>https://espacios.me/map/api/forecast-evidence</w:t>
      </w:r>
    </w:p>
    <w:p>
      <w:r>
        <w:rPr>
          <w:rFonts w:ascii="Arial" w:hAnsi="Arial"/>
          <w:sz w:val="21"/>
        </w:rPr>
        <w:t xml:space="preserve">Current production deployment checked 24 Sep 2026: Worker </w:t>
      </w:r>
      <w:r>
        <w:rPr>
          <w:rFonts w:ascii="Courier New" w:hAnsi="Courier New"/>
          <w:sz w:val="20"/>
        </w:rPr>
        <w:t>psr-portfolio-map-v2</w:t>
      </w:r>
      <w:r>
        <w:rPr>
          <w:rFonts w:ascii="Arial" w:hAnsi="Arial"/>
          <w:sz w:val="21"/>
        </w:rPr>
        <w:t xml:space="preserve">, version 145 / </w:t>
      </w:r>
      <w:r>
        <w:rPr>
          <w:rFonts w:ascii="Courier New" w:hAnsi="Courier New"/>
          <w:sz w:val="20"/>
        </w:rPr>
        <w:t>bb5456b0-d558-4dba-9856-a80e19f4b5a2</w:t>
      </w:r>
      <w:r>
        <w:rPr>
          <w:rFonts w:ascii="Arial" w:hAnsi="Arial"/>
          <w:sz w:val="21"/>
        </w:rPr>
        <w:t xml:space="preserve">, deployment </w:t>
      </w:r>
      <w:r>
        <w:rPr>
          <w:rFonts w:ascii="Courier New" w:hAnsi="Courier New"/>
          <w:sz w:val="20"/>
        </w:rPr>
        <w:t>01fa63ce-ab72-4592-99aa-b211ec857dc9</w:t>
      </w:r>
      <w:r>
        <w:rPr>
          <w:rFonts w:ascii="Arial" w:hAnsi="Arial"/>
          <w:sz w:val="21"/>
        </w:rPr>
        <w:t>, 100% traffic.</w:t>
      </w:r>
    </w:p>
    <w:p>
      <w:r>
        <w:rPr>
          <w:rFonts w:ascii="Arial" w:hAnsi="Arial"/>
          <w:sz w:val="21"/>
        </w:rPr>
        <w:t xml:space="preserve">Current workbook handoff file: </w:t>
      </w:r>
      <w:r>
        <w:rPr>
          <w:rFonts w:ascii="Courier New" w:hAnsi="Courier New"/>
          <w:sz w:val="20"/>
        </w:rPr>
        <w:t>ESPACIOS_PROJECT_LEVEL_PRICE_MODEL_2026-09-24.xlsx</w:t>
      </w:r>
      <w:r>
        <w:rPr>
          <w:rFonts w:ascii="Arial" w:hAnsi="Arial"/>
          <w:sz w:val="21"/>
        </w:rPr>
        <w:t>. This workbook is not yet deployed into production APIs or the map UI.</w:t>
      </w:r>
    </w:p>
    <w:p>
      <w:r>
        <w:rPr>
          <w:rFonts w:ascii="Arial" w:hAnsi="Arial"/>
          <w:sz w:val="21"/>
        </w:rPr>
        <w:t>Final implementation rule: if the exact project/building/unit source cannot be proven, do not fabricate precision. Publish the best supported level (project, building, source area, community, emirate) and label that level explicitly.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586174"/>
        <w:sz w:val="16"/>
      </w:rPr>
      <w:t xml:space="preserve">Espacios UAE Intelligence Map  |  Full Stack Handover  |  </w:t>
    </w:r>
    <w:r>
      <w:rPr>
        <w:rFonts w:ascii="Arial" w:hAnsi="Arial"/>
        <w:color w:val="586174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86174"/>
        <w:sz w:val="16"/>
      </w:rPr>
      <w:t xml:space="preserve"> of </w:t>
    </w:r>
    <w:r>
      <w:rPr>
        <w:rFonts w:ascii="Arial" w:hAnsi="Arial"/>
        <w:color w:val="586174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346" w:hanging="23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346" w:hanging="23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paciosCode">
    <w:name w:val="Espacios Code"/>
    <w:pPr>
      <w:spacing w:before="60" w:after="140" w:line="240" w:lineRule="auto"/>
      <w:ind w:left="259" w:right="173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Espacios Project-Level Intelligence Full-Stack Handoff</dc:title>
  <dc:subject>Project-level historical pricing, sourcing, scenarios, and deployment boundaries</dc:subject>
  <dc:creator>Espacios</dc:creator>
  <cp:keywords>Espacios UAE project intelligence DLD sourcing scenarios Cloudflare</cp:keywords>
  <dc:description>Checked against production Worker version 145 on 24 September 2026. Workbook scenarios are not deployed.</dc:description>
  <cp:lastModifiedBy/>
  <cp:revision>1</cp:revision>
  <dcterms:created xsi:type="dcterms:W3CDTF">2013-12-23T23:15:00Z</dcterms:created>
  <dcterms:modified xsi:type="dcterms:W3CDTF">2013-12-23T23:15:00Z</dcterms:modified>
  <cp:category>Engineering handoff</cp:category>
</cp:coreProperties>
</file>