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AmazonHelp Customer-Support Agent — Decision Log</w:t>
      </w:r>
    </w:p>
    <w:p>
      <w:pPr>
        <w:jc w:val="center"/>
      </w:pPr>
      <w:r>
        <w:rPr>
          <w:i/>
          <w:sz w:val="18"/>
        </w:rPr>
        <w:t>Generated from the Kaggle notebook: agent-for-cutomer-queries.ipynb</w:t>
      </w:r>
    </w:p>
    <w:p/>
    <w:p>
      <w:pPr>
        <w:pStyle w:val="ListNumber"/>
        <w:spacing w:after="100"/>
      </w:pPr>
      <w:r>
        <w:rPr>
          <w:b/>
        </w:rPr>
        <w:t>Selected AmazonHelp as the target brand.</w:t>
      </w:r>
      <w:r>
        <w:t xml:space="preserve"> The notebook explicitly builds the support workflow around AmazonHelp, making the task concrete rather than mixing multiple brands.</w:t>
      </w:r>
    </w:p>
    <w:p>
      <w:pPr>
        <w:pStyle w:val="ListNumber"/>
        <w:spacing w:after="100"/>
      </w:pPr>
      <w:r>
        <w:rPr>
          <w:b/>
        </w:rPr>
        <w:t>Restricted the working dataset to English customer messages.</w:t>
      </w:r>
      <w:r>
        <w:t xml:space="preserve"> This avoids silently mixing languages while using an English intent taxonomy and English reply-generation prompt.</w:t>
      </w:r>
    </w:p>
    <w:p>
      <w:pPr>
        <w:pStyle w:val="ListNumber"/>
        <w:spacing w:after="100"/>
      </w:pPr>
      <w:r>
        <w:rPr>
          <w:b/>
        </w:rPr>
        <w:t>Capped the initial customer/reply sample at 1,000 pairs before language filtering.</w:t>
      </w:r>
      <w:r>
        <w:t xml:space="preserve"> This keeps prototyping tractable while retaining enough examples to cover common support problems.</w:t>
      </w:r>
    </w:p>
    <w:p>
      <w:pPr>
        <w:pStyle w:val="ListNumber"/>
        <w:spacing w:after="100"/>
      </w:pPr>
      <w:r>
        <w:rPr>
          <w:b/>
        </w:rPr>
        <w:t>Used 500 sampled customer messages for intent development.</w:t>
      </w:r>
      <w:r>
        <w:t xml:space="preserve"> The notebook samples up to 500 messages with random_state=42, giving a fixed development sample for repeatable experimentation.</w:t>
      </w:r>
    </w:p>
    <w:p>
      <w:pPr>
        <w:pStyle w:val="ListNumber"/>
        <w:spacing w:after="100"/>
      </w:pPr>
      <w:r>
        <w:rPr>
          <w:b/>
        </w:rPr>
        <w:t>Created a compact 9-intent taxonomy.</w:t>
      </w:r>
      <w:r>
        <w:t xml:space="preserve"> The goal was to keep labels broad enough for reliable classification rather than creating dozens of brittle micro-intents.</w:t>
      </w:r>
    </w:p>
    <w:p>
      <w:pPr>
        <w:pStyle w:val="ListNumber"/>
        <w:spacing w:after="100"/>
      </w:pPr>
      <w:r>
        <w:rPr>
          <w:b/>
        </w:rPr>
        <w:t>Used Gemini to propose and assign the initial labels.</w:t>
      </w:r>
      <w:r>
        <w:t xml:space="preserve"> This was a pragmatic way to bootstrap an intent dataset quickly, but it is also a major limitation because the training labels are not fully human-validated.</w:t>
      </w:r>
    </w:p>
    <w:p>
      <w:pPr>
        <w:pStyle w:val="ListNumber"/>
        <w:spacing w:after="100"/>
      </w:pPr>
      <w:r>
        <w:rPr>
          <w:b/>
        </w:rPr>
        <w:t>Used all-MiniLM-L6-v2 + logistic regression for the classifier.</w:t>
      </w:r>
      <w:r>
        <w:t xml:space="preserve"> This keeps the classifier lightweight and easy to retrain while leveraging semantic embeddings rather than sparse keyword matching.</w:t>
      </w:r>
    </w:p>
    <w:p>
      <w:pPr>
        <w:pStyle w:val="ListNumber"/>
        <w:spacing w:after="100"/>
      </w:pPr>
      <w:r>
        <w:rPr>
          <w:b/>
        </w:rPr>
        <w:t>Used class-balanced logistic regression.</w:t>
      </w:r>
      <w:r>
        <w:t xml:space="preserve"> The generated training labels are unevenly distributed, so class_weight="balanced" reduces the chance that frequent intents dominate the classifier.</w:t>
      </w:r>
    </w:p>
    <w:p>
      <w:pPr>
        <w:pStyle w:val="ListNumber"/>
        <w:spacing w:after="100"/>
      </w:pPr>
      <w:r>
        <w:rPr>
          <w:b/>
        </w:rPr>
        <w:t>Used FAISS with normalized embeddings and inner product.</w:t>
      </w:r>
      <w:r>
        <w:t xml:space="preserve"> Normalization makes inner product equivalent to cosine similarity for retrieval, giving a simple fast semantic search implementation.</w:t>
      </w:r>
    </w:p>
    <w:p>
      <w:pPr>
        <w:pStyle w:val="ListNumber"/>
        <w:spacing w:after="100"/>
      </w:pPr>
      <w:r>
        <w:rPr>
          <w:b/>
        </w:rPr>
        <w:t>Retrieved the top 3 historical conversations.</w:t>
      </w:r>
      <w:r>
        <w:t xml:space="preserve"> Three examples provide enough context for tone and resolution patterns without making the generation prompt unnecessarily large.</w:t>
      </w:r>
    </w:p>
    <w:p>
      <w:pPr>
        <w:pStyle w:val="ListNumber"/>
        <w:spacing w:after="100"/>
      </w:pPr>
      <w:r>
        <w:rPr>
          <w:b/>
        </w:rPr>
        <w:t>Added explicit escalation rules for high-risk intents.</w:t>
      </w:r>
      <w:r>
        <w:t xml:space="preserve"> Payment, refund, account, and cancellation cases can have material consequences, so they are routed to humans instead of being auto-handled.</w:t>
      </w:r>
    </w:p>
    <w:p>
      <w:pPr>
        <w:pStyle w:val="ListNumber"/>
        <w:spacing w:after="100"/>
      </w:pPr>
      <w:r>
        <w:rPr>
          <w:b/>
        </w:rPr>
        <w:t>Added confidence and retrieval-similarity thresholds.</w:t>
      </w:r>
      <w:r>
        <w:t xml:space="preserve"> Low classifier confidence or no sufficiently similar historical case is treated as a reason not to automate.</w:t>
      </w:r>
    </w:p>
    <w:p>
      <w:pPr>
        <w:pStyle w:val="ListNumber"/>
        <w:spacing w:after="100"/>
      </w:pPr>
      <w:r>
        <w:rPr>
          <w:b/>
        </w:rPr>
        <w:t>Told the generator not to invent order numbers, tracking numbers, or dates.</w:t>
      </w:r>
      <w:r>
        <w:t xml:space="preserve"> This directly addresses one of the highest-risk failure modes for customer-support generation: unsupported operational details.</w:t>
      </w:r>
    </w:p>
    <w:p>
      <w:pPr>
        <w:pStyle w:val="ListNumber"/>
        <w:spacing w:after="100"/>
      </w:pPr>
      <w:r>
        <w:rPr>
          <w:b/>
        </w:rPr>
        <w:t>Kept the headline claim tied to the 191-example golden set.</w:t>
      </w:r>
      <w:r>
        <w:t xml:space="preserve"> The 66% internal holdout is useful during development, but the report treats the 63.87% golden result as the primary evaluation claim.</w:t>
      </w:r>
    </w:p>
    <w:p>
      <w:pPr>
        <w:pStyle w:val="ListNumber"/>
        <w:spacing w:after="100"/>
      </w:pPr>
      <w:r>
        <w:rPr>
          <w:b/>
        </w:rPr>
        <w:t>Refused to fabricate LLM-judge/human agreement evidence.</w:t>
      </w:r>
      <w:r>
        <w:t xml:space="preserve"> The notebook does not contain human reply-quality ratings, so the harness measures agreement only when a human-rated file is supplied. This keeps the evaluation report honest.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