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AmazonHelp Customer-Support Agent — Evaluation Report</w:t>
      </w:r>
    </w:p>
    <w:p>
      <w:pPr>
        <w:jc w:val="center"/>
      </w:pPr>
      <w:r>
        <w:rPr>
          <w:i/>
          <w:sz w:val="18"/>
        </w:rPr>
        <w:t>Generated from the Kaggle notebook: agent-for-cutomer-queries.ipynb</w:t>
      </w:r>
    </w:p>
    <w:p/>
    <w:p>
      <w:pPr>
        <w:pStyle w:val="Heading1"/>
      </w:pPr>
      <w:r>
        <w:t>1. Problem framing</w:t>
      </w:r>
    </w:p>
    <w:p>
      <w:pPr>
        <w:pStyle w:val="Heading2"/>
      </w:pPr>
      <w:r>
        <w:t>What “good” means for this brand</w:t>
      </w:r>
    </w:p>
    <w:p>
      <w:pPr>
        <w:pStyle w:val="ListBullet"/>
        <w:spacing w:after="40"/>
      </w:pPr>
      <w:r>
        <w:t>Useful: it addresses the customer’s actual problem rather than producing generic reassurance.</w:t>
      </w:r>
    </w:p>
    <w:p>
      <w:pPr>
        <w:pStyle w:val="ListBullet"/>
        <w:spacing w:after="40"/>
      </w:pPr>
      <w:r>
        <w:t>Grounded: it does not invent order numbers, tracking states, refund status, dates, or account facts.</w:t>
      </w:r>
    </w:p>
    <w:p>
      <w:pPr>
        <w:pStyle w:val="ListBullet"/>
        <w:spacing w:after="40"/>
      </w:pPr>
      <w:r>
        <w:t>Concise and empathetic: Twitter-style support benefits from short, direct replies.</w:t>
      </w:r>
    </w:p>
    <w:p>
      <w:pPr>
        <w:pStyle w:val="ListBullet"/>
        <w:spacing w:after="40"/>
      </w:pPr>
      <w:r>
        <w:t>Actionable: it tells the customer what to do next or asks for the one piece of information needed to proceed.</w:t>
      </w:r>
    </w:p>
    <w:p>
      <w:pPr>
        <w:pStyle w:val="ListBullet"/>
        <w:spacing w:after="40"/>
      </w:pPr>
      <w:r>
        <w:t>Safe: sensitive categories such as payments, refunds, account issues, and cancellations should be routed to humans rather than confidently automated.</w:t>
      </w:r>
    </w:p>
    <w:p>
      <w:r>
        <w:t>The prototype therefore combines intent classification, historical-example retrieval, generation, and simple escalation rules.</w:t>
      </w:r>
    </w:p>
    <w:p>
      <w:pPr>
        <w:pStyle w:val="Heading2"/>
      </w:pPr>
      <w:r>
        <w:t>What we chose not to build</w:t>
      </w:r>
    </w:p>
    <w:p>
      <w:r>
        <w:t>We intentionally did not attempt a full production support agent. The prototype does not perform account lookups, order mutations, refund execution, payment changes, identity verification, multilingual response generation, or live policy retrieval. Those capabilities would require stronger access controls, policy grounding, auditability, and production integrations.</w:t>
      </w:r>
    </w:p>
    <w:p>
      <w:pPr>
        <w:pStyle w:val="Heading1"/>
      </w:pPr>
      <w:r>
        <w:t>2. System approach</w:t>
      </w:r>
    </w:p>
    <w:p>
      <w:r>
        <w:t>The notebook builds a 9-intent classifier from 500 sampled English customer messages. The messages are embedded with all-MiniLM-L6-v2, and balanced logistic regression predicts intent. Historical AmazonHelp customer/reply pairs are embedded and indexed in FAISS. For an eligible request, the top three similar conversations are inserted into a Gemini prompt to generate a 2–4 sentence reply.</w:t>
      </w:r>
    </w:p>
    <w:p>
      <w:r>
        <w:t>The escalation policy automatically routes four high-risk intents to humans and also escalates when intent confidence is below 0.30 or top retrieval similarity is below 0.50.</w:t>
      </w:r>
    </w:p>
    <w:p>
      <w:pPr>
        <w:pStyle w:val="Heading1"/>
      </w:pPr>
      <w:r>
        <w:t>3. Results vs. baselines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7E6E6"/>
          </w:tcPr>
          <w:p>
            <w:r/>
            <w:r>
              <w:rPr>
                <w:b/>
                <w:sz w:val="18"/>
              </w:rPr>
              <w:t>Method</w:t>
            </w:r>
          </w:p>
        </w:tc>
        <w:tc>
          <w:tcPr>
            <w:tcW w:type="dxa" w:w="2556"/>
            <w:vAlign w:val="center"/>
            <w:shd w:fill="E7E6E6"/>
          </w:tcPr>
          <w:p>
            <w:r/>
            <w:r>
              <w:rPr>
                <w:b/>
                <w:sz w:val="18"/>
              </w:rPr>
              <w:t>Test set</w:t>
            </w:r>
          </w:p>
        </w:tc>
        <w:tc>
          <w:tcPr>
            <w:tcW w:type="dxa" w:w="2556"/>
            <w:vAlign w:val="center"/>
            <w:shd w:fill="E7E6E6"/>
          </w:tcPr>
          <w:p>
            <w:r/>
            <w:r>
              <w:rPr>
                <w:b/>
                <w:sz w:val="18"/>
              </w:rPr>
              <w:t>Accuracy</w:t>
            </w:r>
          </w:p>
        </w:tc>
        <w:tc>
          <w:tcPr>
            <w:tcW w:type="dxa" w:w="2556"/>
            <w:vAlign w:val="center"/>
            <w:shd w:fill="E7E6E6"/>
          </w:tcPr>
          <w:p>
            <w:r/>
            <w:r>
              <w:rPr>
                <w:b/>
                <w:sz w:val="18"/>
              </w:rPr>
              <w:t>Notes</w:t>
            </w:r>
          </w:p>
        </w:tc>
      </w:tr>
      <w:tr>
        <w:tc>
          <w:tcPr>
            <w:tcW w:type="dxa" w:w="2556"/>
            <w:vAlign w:val="center"/>
          </w:tcPr>
          <w:p>
            <w:r/>
            <w:r>
              <w:rPr>
                <w:b w:val="0"/>
                <w:sz w:val="18"/>
              </w:rPr>
              <w:t>Uniform random</w:t>
            </w:r>
          </w:p>
        </w:tc>
        <w:tc>
          <w:tcPr>
            <w:tcW w:type="dxa" w:w="2556"/>
            <w:vAlign w:val="center"/>
          </w:tcPr>
          <w:p>
            <w:r/>
            <w:r>
              <w:rPr>
                <w:b w:val="0"/>
                <w:sz w:val="18"/>
              </w:rPr>
              <w:t>191 golden examples</w:t>
            </w:r>
          </w:p>
        </w:tc>
        <w:tc>
          <w:tcPr>
            <w:tcW w:type="dxa" w:w="2556"/>
            <w:vAlign w:val="center"/>
          </w:tcPr>
          <w:p>
            <w:r/>
            <w:r>
              <w:rPr>
                <w:b w:val="0"/>
                <w:sz w:val="18"/>
              </w:rPr>
              <w:t>11.11% expected</w:t>
            </w:r>
          </w:p>
        </w:tc>
        <w:tc>
          <w:tcPr>
            <w:tcW w:type="dxa" w:w="2556"/>
            <w:vAlign w:val="center"/>
          </w:tcPr>
          <w:p>
            <w:r/>
            <w:r>
              <w:rPr>
                <w:b w:val="0"/>
                <w:sz w:val="18"/>
              </w:rPr>
              <w:t>9-class uniform prior</w:t>
            </w:r>
          </w:p>
        </w:tc>
      </w:tr>
      <w:tr>
        <w:tc>
          <w:tcPr>
            <w:tcW w:type="dxa" w:w="2556"/>
            <w:vAlign w:val="center"/>
          </w:tcPr>
          <w:p>
            <w:r/>
            <w:r>
              <w:rPr>
                <w:b w:val="0"/>
                <w:sz w:val="18"/>
              </w:rPr>
              <w:t>Majority class</w:t>
            </w:r>
          </w:p>
        </w:tc>
        <w:tc>
          <w:tcPr>
            <w:tcW w:type="dxa" w:w="2556"/>
            <w:vAlign w:val="center"/>
          </w:tcPr>
          <w:p>
            <w:r/>
            <w:r>
              <w:rPr>
                <w:b w:val="0"/>
                <w:sz w:val="18"/>
              </w:rPr>
              <w:t>191 golden examples</w:t>
            </w:r>
          </w:p>
        </w:tc>
        <w:tc>
          <w:tcPr>
            <w:tcW w:type="dxa" w:w="2556"/>
            <w:vAlign w:val="center"/>
          </w:tcPr>
          <w:p>
            <w:r/>
            <w:r>
              <w:rPr>
                <w:b w:val="0"/>
                <w:sz w:val="18"/>
              </w:rPr>
              <w:t>14.66%</w:t>
            </w:r>
          </w:p>
        </w:tc>
        <w:tc>
          <w:tcPr>
            <w:tcW w:type="dxa" w:w="2556"/>
            <w:vAlign w:val="center"/>
          </w:tcPr>
          <w:p>
            <w:r/>
            <w:r>
              <w:rPr>
                <w:b w:val="0"/>
                <w:sz w:val="18"/>
              </w:rPr>
              <w:t>Always predicts order_tracking</w:t>
            </w:r>
          </w:p>
        </w:tc>
      </w:tr>
      <w:tr>
        <w:tc>
          <w:tcPr>
            <w:tcW w:type="dxa" w:w="2556"/>
            <w:vAlign w:val="center"/>
          </w:tcPr>
          <w:p>
            <w:r/>
            <w:r>
              <w:rPr>
                <w:b w:val="0"/>
                <w:sz w:val="18"/>
              </w:rPr>
              <w:t>Prototype classifier</w:t>
            </w:r>
          </w:p>
        </w:tc>
        <w:tc>
          <w:tcPr>
            <w:tcW w:type="dxa" w:w="2556"/>
            <w:vAlign w:val="center"/>
          </w:tcPr>
          <w:p>
            <w:r/>
            <w:r>
              <w:rPr>
                <w:b w:val="0"/>
                <w:sz w:val="18"/>
              </w:rPr>
              <w:t>191 golden examples</w:t>
            </w:r>
          </w:p>
        </w:tc>
        <w:tc>
          <w:tcPr>
            <w:tcW w:type="dxa" w:w="2556"/>
            <w:vAlign w:val="center"/>
          </w:tcPr>
          <w:p>
            <w:r/>
            <w:r>
              <w:rPr>
                <w:b w:val="0"/>
                <w:sz w:val="18"/>
              </w:rPr>
              <w:t>63.87%</w:t>
            </w:r>
          </w:p>
        </w:tc>
        <w:tc>
          <w:tcPr>
            <w:tcW w:type="dxa" w:w="2556"/>
            <w:vAlign w:val="center"/>
          </w:tcPr>
          <w:p>
            <w:r/>
            <w:r>
              <w:rPr>
                <w:b w:val="0"/>
                <w:sz w:val="18"/>
              </w:rPr>
              <w:t>122 correct / 191</w:t>
            </w:r>
          </w:p>
        </w:tc>
      </w:tr>
      <w:tr>
        <w:tc>
          <w:tcPr>
            <w:tcW w:type="dxa" w:w="2556"/>
            <w:vAlign w:val="center"/>
          </w:tcPr>
          <w:p>
            <w:r/>
            <w:r>
              <w:rPr>
                <w:b w:val="0"/>
                <w:sz w:val="18"/>
              </w:rPr>
              <w:t>Prototype classifier</w:t>
            </w:r>
          </w:p>
        </w:tc>
        <w:tc>
          <w:tcPr>
            <w:tcW w:type="dxa" w:w="2556"/>
            <w:vAlign w:val="center"/>
          </w:tcPr>
          <w:p>
            <w:r/>
            <w:r>
              <w:rPr>
                <w:b w:val="0"/>
                <w:sz w:val="18"/>
              </w:rPr>
              <w:t>100 internal holdout</w:t>
            </w:r>
          </w:p>
        </w:tc>
        <w:tc>
          <w:tcPr>
            <w:tcW w:type="dxa" w:w="2556"/>
            <w:vAlign w:val="center"/>
          </w:tcPr>
          <w:p>
            <w:r/>
            <w:r>
              <w:rPr>
                <w:b w:val="0"/>
                <w:sz w:val="18"/>
              </w:rPr>
              <w:t>66.00%</w:t>
            </w:r>
          </w:p>
        </w:tc>
        <w:tc>
          <w:tcPr>
            <w:tcW w:type="dxa" w:w="2556"/>
            <w:vAlign w:val="center"/>
          </w:tcPr>
          <w:p>
            <w:r/>
            <w:r>
              <w:rPr>
                <w:b w:val="0"/>
                <w:sz w:val="18"/>
              </w:rPr>
              <w:t>80/20 split from 500 automatically labeled examples</w:t>
            </w:r>
          </w:p>
        </w:tc>
      </w:tr>
    </w:tbl>
    <w:p>
      <w:r>
        <w:t>On the golden set, the prototype is 49.21 percentage points above the majority baseline and 52.76 points above uniform random.</w:t>
      </w:r>
    </w:p>
    <w:p>
      <w:r>
        <w:t>The golden-set classification report shows strong performance for order_cancellation (F1 0.95) and refund_request (F1 0.84), but weaker recall for order_tracking (0.29) and weak F1 for delivery_problem (0.44). This is consistent with the major confusion pattern: messages about tracking, delays, and delivery status are semantically close but separated into distinct labels.</w:t>
      </w:r>
    </w:p>
    <w:p>
      <w:pPr>
        <w:pStyle w:val="Heading1"/>
      </w:pPr>
      <w:r>
        <w:t>4. What is misleading about my headline number?</w:t>
      </w:r>
    </w:p>
    <w:p>
      <w:r>
        <w:rPr>
          <w:b/>
        </w:rPr>
        <w:t>63.87% is useful evidence, but it is easy to over-interpret.</w:t>
      </w:r>
    </w:p>
    <w:p>
      <w:pPr>
        <w:pStyle w:val="ListNumber"/>
        <w:spacing w:after="40"/>
      </w:pPr>
      <w:r>
        <w:t>It is intent accuracy, not end-to-end reply quality. A reply can be helpful even when the taxonomy label is imperfect, and a correct intent can still produce a bad reply.</w:t>
      </w:r>
    </w:p>
    <w:p>
      <w:pPr>
        <w:pStyle w:val="ListNumber"/>
        <w:spacing w:after="40"/>
      </w:pPr>
      <w:r>
        <w:t>The classifier was trained on 500 labels generated by Gemini, not a fully human-annotated training set. That means the model may partially learn the labeling model’s own biases or inconsistencies.</w:t>
      </w:r>
    </w:p>
    <w:p>
      <w:pPr>
        <w:pStyle w:val="ListNumber"/>
        <w:spacing w:after="40"/>
      </w:pPr>
      <w:r>
        <w:t>The golden set contains only 191 examples. A single percentage can move substantially with a modest number of additional cases, especially for minority intents.</w:t>
      </w:r>
    </w:p>
    <w:p>
      <w:pPr>
        <w:pStyle w:val="ListNumber"/>
        <w:spacing w:after="40"/>
      </w:pPr>
      <w:r>
        <w:t>The 66% random-holdout score is not comparable with the golden number as a quality claim. It is a development split drawn from the same 500-example pool whose labels were automatically generated. The golden set is the more important number because it is an independent evaluation input.</w:t>
      </w:r>
    </w:p>
    <w:p>
      <w:pPr>
        <w:pStyle w:val="ListNumber"/>
        <w:spacing w:after="40"/>
      </w:pPr>
      <w:r>
        <w:t>The RAG generator was not evaluated with a human-labeled reply-quality benchmark in the notebook. We therefore should not claim that the system produces 63.87%-quality support replies.</w:t>
      </w:r>
    </w:p>
    <w:p>
      <w:r>
        <w:t>The honest headline is: “63.87% golden-set intent accuracy for the current 9-class classifier.”</w:t>
      </w:r>
    </w:p>
    <w:p>
      <w:pPr>
        <w:pStyle w:val="Heading1"/>
      </w:pPr>
      <w:r>
        <w:t>5. Evaluation harness and LLM judge</w:t>
      </w:r>
    </w:p>
    <w:p>
      <w:pPr>
        <w:pStyle w:val="ListBullet"/>
        <w:spacing w:after="40"/>
      </w:pPr>
      <w:r>
        <w:t>Accuracy, macro-F1, weighted-F1, per-class precision/recall/F1, and confusion matrix.</w:t>
      </w:r>
    </w:p>
    <w:p>
      <w:pPr>
        <w:pStyle w:val="ListBullet"/>
        <w:spacing w:after="40"/>
      </w:pPr>
      <w:r>
        <w:t>Majority-class and uniform-random baselines from the same golden label distribution.</w:t>
      </w:r>
    </w:p>
    <w:p>
      <w:pPr>
        <w:pStyle w:val="ListBullet"/>
        <w:spacing w:after="40"/>
      </w:pPr>
      <w:r>
        <w:t>An LLM-as-judge rubric over helpfulness, groundedness, tone, actionability, and safety, each scored 1–5.</w:t>
      </w:r>
    </w:p>
    <w:p>
      <w:pPr>
        <w:pStyle w:val="ListBullet"/>
        <w:spacing w:after="40"/>
      </w:pPr>
      <w:r>
        <w:t>Judge-vs-human agreement metrics: exact overall-score agreement, mean absolute error, and Spearman correlation.</w:t>
      </w:r>
    </w:p>
    <w:p>
      <w:r>
        <w:rPr>
          <w:b/>
        </w:rPr>
        <w:t xml:space="preserve">Current evidence gap: </w:t>
      </w:r>
      <w:r>
        <w:t>the notebook contains no human-rated reply dataset, so there is no defensible judge–human agreement percentage to report yet. The harness is ready to calculate it once even a small double-rated sample is collected.</w:t>
      </w:r>
    </w:p>
    <w:p>
      <w:r>
        <w:t>Recommended calibration protocol: sample at least 50 generated replies across intents and escalation states; have two humans independently score each reply on the same 1–5 rubric; compare the judge with the human consensus and separately report exact agreement, MAE, and rank correlation. Keep a fixed calibration set so future judge-prompt changes can be compared apples-to-apples.</w:t>
      </w:r>
    </w:p>
    <w:p>
      <w:pPr>
        <w:pStyle w:val="Heading1"/>
      </w:pPr>
      <w:r>
        <w:t>6. What I’d do next with one more week</w:t>
      </w:r>
    </w:p>
    <w:p>
      <w:r>
        <w:t>The highest-value next step is more and better training data.</w:t>
      </w:r>
    </w:p>
    <w:p>
      <w:r>
        <w:t>This prototype is currently trained on a small 500-message labeled set. With one more week, I would curate and human-review a substantially larger training set, especially for the confusing pairs (order_tracking vs delivery_problem, product_problem vs delivery_problem, and technical_problem vs account_problem). I would then retrain the classifier on the larger dataset and re-run the fixed golden evaluation.</w:t>
      </w:r>
    </w:p>
    <w:p>
      <w:r>
        <w:t>The expectation is that more representative, better-balanced data should improve accuracy and reduce boundary mistakes. In other words, rather than only tuning thresholds or prompts, we would invest in a larger training set and then train on that larger set to increase accuracy.</w:t>
      </w:r>
    </w:p>
    <w:p>
      <w:r>
        <w:t>I would also add a small human-rated reply benchmark so reply quality—not just intent accuracy—can be measured directly, and I would compare against at least one stronger baseline such as TF-IDF + linear classification.</w:t>
      </w:r>
    </w:p>
    <w:p>
      <w:pPr>
        <w:pStyle w:val="Heading1"/>
      </w:pPr>
      <w:r>
        <w:t>7. Bottom line</w:t>
      </w:r>
    </w:p>
    <w:p>
      <w:r>
        <w:t>The current prototype demonstrates a useful end-to-end pattern—intent classification + retrieval + guarded generation—but its strongest validated claim is narrow: 63.87% accuracy on the 191-example golden intent benchmark. The next iteration should focus on scaling and improving the labeled data, adding stronger baselines, and measuring reply quality with human-validated LLM-judge calibration.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