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2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Dr. Phil</w:t>
      </w:r>
    </w:p>
    <w:p>
      <w:pPr>
        <w:pStyle w:val="Date"/>
      </w:pPr>
      <w:r>
        <w:t xml:space="preserve">2023-02-27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Purpose of this report is to simulate data for the in-class question where</w:t>
      </w:r>
      <w:r>
        <w:t xml:space="preserve"> </w:t>
      </w:r>
      <w:r>
        <w:t xml:space="preserve">the fitted regression model is: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e>
          </m:acc>
          <m:r>
            <m:rPr>
              <m:sty m:val="p"/>
            </m:rPr>
            <m:t>=</m:t>
          </m:r>
          <m:r>
            <m:t>11</m:t>
          </m:r>
          <m:r>
            <m:rPr>
              <m:sty m:val="p"/>
            </m:rPr>
            <m:t>+</m:t>
          </m:r>
          <m:r>
            <m:t>0.53</m:t>
          </m:r>
          <m:r>
            <m:rPr>
              <m:sty m:val="p"/>
            </m:rPr>
            <m:t>•</m:t>
          </m:r>
          <m:r>
            <m:t>M</m:t>
          </m:r>
          <m:r>
            <m:t>i</m:t>
          </m:r>
          <m:r>
            <m:t>d</m:t>
          </m:r>
          <m:r>
            <m:t>t</m:t>
          </m:r>
          <m:r>
            <m:t>e</m:t>
          </m:r>
          <m:r>
            <m:t>r</m:t>
          </m:r>
          <m:r>
            <m:t>m</m:t>
          </m:r>
          <m:r>
            <m:rPr>
              <m:sty m:val="p"/>
            </m:rPr>
            <m:t>+</m:t>
          </m:r>
          <m:r>
            <m:t>1.2</m:t>
          </m:r>
          <m:r>
            <m:rPr>
              <m:sty m:val="p"/>
            </m:rPr>
            <m:t>•</m:t>
          </m:r>
          <m:r>
            <m:t>P</m:t>
          </m:r>
          <m:r>
            <m:t>r</m:t>
          </m:r>
          <m:r>
            <m:t>o</m:t>
          </m:r>
          <m:r>
            <m:t>j</m:t>
          </m:r>
          <m:r>
            <m:t>e</m:t>
          </m:r>
          <m:r>
            <m:t>c</m:t>
          </m:r>
          <m:r>
            <m:t>t</m:t>
          </m:r>
        </m:oMath>
      </m:oMathPara>
    </w:p>
    <w:p>
      <w:pPr>
        <w:pStyle w:val="FirstParagraph"/>
      </w:pPr>
      <w:r>
        <w:t xml:space="preserve">where the Midterm exam is scored from 0 to 100</w:t>
      </w:r>
      <w:r>
        <w:t xml:space="preserve"> </w:t>
      </w:r>
      <w:r>
        <w:t xml:space="preserve">and the project is scored from 0 to 30. The question is which predictor variable</w:t>
      </w:r>
      <w:r>
        <w:t xml:space="preserve"> </w:t>
      </w:r>
      <w:r>
        <w:t xml:space="preserve">(Midterm or Project) has a</w:t>
      </w:r>
      <w:r>
        <w:t xml:space="preserve"> </w:t>
      </w:r>
      <w:r>
        <w:t xml:space="preserve">stronger association with the response (Final).</w:t>
      </w:r>
    </w:p>
    <w:p>
      <w:pPr>
        <w:pStyle w:val="BodyText"/>
      </w:pPr>
      <w:r>
        <w:t xml:space="preserve">We saw in class that when Midterm=100 and project=30 (full points for both), the</w:t>
      </w:r>
      <w:r>
        <w:t xml:space="preserve"> </w:t>
      </w:r>
      <w:r>
        <w:t xml:space="preserve">predicted Final score is 100. We also noted that when Midterm = 100, it</w:t>
      </w:r>
      <w:r>
        <w:t xml:space="preserve"> </w:t>
      </w:r>
      <w:r>
        <w:t xml:space="preserve">contributes</w:t>
      </w:r>
      <w:r>
        <w:t xml:space="preserve"> </w:t>
      </w:r>
      <m:oMath>
        <m:r>
          <m:t>0.53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53</m:t>
        </m:r>
      </m:oMath>
      <w:r>
        <w:t xml:space="preserve"> </w:t>
      </w:r>
      <w:r>
        <w:t xml:space="preserve">points to the Final score, and when Project = 30, it</w:t>
      </w:r>
      <w:r>
        <w:t xml:space="preserve"> </w:t>
      </w:r>
      <w:r>
        <w:t xml:space="preserve">contributes</w:t>
      </w:r>
      <w:r>
        <w:t xml:space="preserve"> </w:t>
      </w:r>
      <m:oMath>
        <m:r>
          <m:t>1.2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36</m:t>
        </m:r>
      </m:oMath>
      <w:r>
        <w:t xml:space="preserve"> </w:t>
      </w:r>
      <w:r>
        <w:t xml:space="preserve">points to the Final score. So it seems obvious that</w:t>
      </w:r>
      <w:r>
        <w:t xml:space="preserve"> </w:t>
      </w:r>
      <w:r>
        <w:t xml:space="preserve">Midterm has a stronger association with Final.</w:t>
      </w:r>
    </w:p>
    <w:p>
      <w:pPr>
        <w:pStyle w:val="BodyText"/>
      </w:pPr>
      <w:r>
        <w:t xml:space="preserve">We made that conclusion, in part, because we were aware of the different ranges</w:t>
      </w:r>
      <w:r>
        <w:t xml:space="preserve"> </w:t>
      </w:r>
      <w:r>
        <w:t xml:space="preserve">of possible values for Midterm and Project. If we did not have that information,</w:t>
      </w:r>
      <w:r>
        <w:t xml:space="preserve"> </w:t>
      </w:r>
      <w:r>
        <w:t xml:space="preserve">we might think that Project has a stronger relationship, because is has a larger</w:t>
      </w:r>
      <w:r>
        <w:t xml:space="preserve"> </w:t>
      </w:r>
      <w:r>
        <w:t xml:space="preserve">coefficient (i.e., slope): 1.2 vs. 0.53. As we begin doing multiple</w:t>
      </w:r>
      <w:r>
        <w:t xml:space="preserve"> </w:t>
      </w:r>
      <w:r>
        <w:t xml:space="preserve">regression with many predictors, we need to keep this in mind.</w:t>
      </w:r>
    </w:p>
    <w:p>
      <w:pPr>
        <w:pStyle w:val="BodyText"/>
      </w:pPr>
      <w:r>
        <w:t xml:space="preserve">One way to deal with this issue is to standardize all of the predictor variables,</w:t>
      </w:r>
      <w:r>
        <w:t xml:space="preserve"> </w:t>
      </w:r>
      <w:r>
        <w:t xml:space="preserve">that is, put them all on the same scale. We explore some different options for this</w:t>
      </w:r>
      <w:r>
        <w:t xml:space="preserve"> </w:t>
      </w:r>
      <w:r>
        <w:t xml:space="preserve">in the analysis below. Note that regardless of how the predictor variables are</w:t>
      </w:r>
      <w:r>
        <w:t xml:space="preserve"> </w:t>
      </w:r>
      <w:r>
        <w:t xml:space="preserve">standardized, the t-value and p-value for each predictor remain the same.</w:t>
      </w:r>
    </w:p>
    <w:bookmarkStart w:id="20" w:name="set-up-3d-surface-plotting"/>
    <w:p>
      <w:pPr>
        <w:pStyle w:val="Heading3"/>
      </w:pPr>
      <w:r>
        <w:t xml:space="preserve">Set up 3D surface plotting</w:t>
      </w:r>
    </w:p>
    <w:p>
      <w:pPr>
        <w:pStyle w:val="FirstParagraph"/>
      </w:pPr>
      <w:r>
        <w:t xml:space="preserve">This code just sets up 3D scatter plot and surface plotting.</w:t>
      </w:r>
    </w:p>
    <w:p>
      <w:pPr>
        <w:pStyle w:val="SourceCode"/>
      </w:pPr>
      <w:r>
        <w:rPr>
          <w:rStyle w:val="NormalTok"/>
        </w:rPr>
        <w:t xml:space="preserve">lm_surface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(lmfit,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...) { </w:t>
      </w:r>
      <w:r>
        <w:br/>
      </w:r>
      <w:r>
        <w:rPr>
          <w:rStyle w:val="NormalTok"/>
        </w:rPr>
        <w:t xml:space="preserve">  coeffs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(x1, x2) coeffs[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coeffs[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coeffs[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x2</w:t>
      </w:r>
      <w:r>
        <w:br/>
      </w:r>
      <w:r>
        <w:rPr>
          <w:rStyle w:val="NormalTok"/>
        </w:rPr>
        <w:t xml:space="preserve">  ranges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rgl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.getRanges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(ranges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ranges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ylim[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(x,y,f)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surface3d</w:t>
      </w:r>
      <w:r>
        <w:rPr>
          <w:rStyle w:val="NormalTok"/>
        </w:rPr>
        <w:t xml:space="preserve">(x, y, z,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</w:p>
    <w:bookmarkEnd w:id="20"/>
    <w:bookmarkEnd w:id="21"/>
    <w:bookmarkStart w:id="26" w:name="data-simulation"/>
    <w:p>
      <w:pPr>
        <w:pStyle w:val="Heading2"/>
      </w:pPr>
      <w:r>
        <w:t xml:space="preserve">Data Simulation</w:t>
      </w:r>
    </w:p>
    <w:p>
      <w:pPr>
        <w:pStyle w:val="FirstParagraph"/>
      </w:pPr>
      <w:r>
        <w:t xml:space="preserve">Next, we simulate some data using the equation above. We take the</w:t>
      </w:r>
      <w:r>
        <w:t xml:space="preserve"> </w:t>
      </w:r>
      <w:r>
        <w:t xml:space="preserve">population parameter values to be: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11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0.53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1.20</m:t>
          </m:r>
        </m:oMath>
      </m:oMathPara>
    </w:p>
    <w:p>
      <w:pPr>
        <w:pStyle w:val="FirstParagraph"/>
      </w:pPr>
      <w:r>
        <w:t xml:space="preserve">There are different ways to vary this simulation. The</w:t>
      </w:r>
      <w:r>
        <w:t xml:space="preserve"> </w:t>
      </w:r>
      <w:r>
        <w:t xml:space="preserve">“</w:t>
      </w:r>
      <w:r>
        <w:t xml:space="preserve">levers</w:t>
      </w:r>
      <w:r>
        <w:t xml:space="preserve">”</w:t>
      </w:r>
      <w:r>
        <w:t xml:space="preserve"> </w:t>
      </w:r>
      <w:r>
        <w:t xml:space="preserve">are:</w:t>
      </w:r>
    </w:p>
    <w:p>
      <w:pPr>
        <w:numPr>
          <w:ilvl w:val="0"/>
          <w:numId w:val="1001"/>
        </w:numPr>
        <w:pStyle w:val="Compact"/>
      </w:pPr>
      <w:r>
        <w:t xml:space="preserve">The range of values for the Midterm</w:t>
      </w:r>
    </w:p>
    <w:p>
      <w:pPr>
        <w:numPr>
          <w:ilvl w:val="0"/>
          <w:numId w:val="1001"/>
        </w:numPr>
        <w:pStyle w:val="Compact"/>
      </w:pPr>
      <w:r>
        <w:t xml:space="preserve">The range of values for the Project</w:t>
      </w:r>
    </w:p>
    <w:p>
      <w:pPr>
        <w:numPr>
          <w:ilvl w:val="0"/>
          <w:numId w:val="1001"/>
        </w:numPr>
        <w:pStyle w:val="Compact"/>
      </w:pPr>
      <w:r>
        <w:t xml:space="preserve">The residual standard error</w:t>
      </w:r>
    </w:p>
    <w:p>
      <w:pPr>
        <w:numPr>
          <w:ilvl w:val="0"/>
          <w:numId w:val="1001"/>
        </w:numPr>
        <w:pStyle w:val="Compact"/>
      </w:pPr>
      <w:r>
        <w:t xml:space="preserve">The sample size</w:t>
      </w:r>
    </w:p>
    <w:p>
      <w:pPr>
        <w:pStyle w:val="FirstParagraph"/>
      </w:pPr>
      <w:r>
        <w:t xml:space="preserve">This first data uses what might be considered a typical range of</w:t>
      </w:r>
      <w:r>
        <w:t xml:space="preserve"> </w:t>
      </w:r>
      <w:r>
        <w:t xml:space="preserve">values for the Midterm (60-100) and the Project (18-30), that is,</w:t>
      </w:r>
      <w:r>
        <w:t xml:space="preserve"> </w:t>
      </w:r>
      <w:r>
        <w:t xml:space="preserve">the possible scores are between 60% and 100% of the total available.</w:t>
      </w:r>
    </w:p>
    <w:p>
      <w:pPr>
        <w:pStyle w:val="BodyText"/>
      </w:pPr>
      <w:r>
        <w:t xml:space="preserve">We’ll start with a larger sample size and a lower residual standard error</w:t>
      </w:r>
      <w:r>
        <w:t xml:space="preserve"> </w:t>
      </w:r>
      <w:r>
        <w:t xml:space="preserve">to demonstrate that the estimated coefficients are close to the population values.</w:t>
      </w:r>
    </w:p>
    <w:p>
      <w:pPr>
        <w:pStyle w:val="SourceCode"/>
      </w:pPr>
      <w:r>
        <w:rPr>
          <w:rStyle w:val="CommentTok"/>
        </w:rPr>
        <w:t xml:space="preserve"># Set the simulation seed value, so that we get the same simulated residuals</w:t>
      </w:r>
      <w:r>
        <w:br/>
      </w:r>
      <w:r>
        <w:rPr>
          <w:rStyle w:val="CommentTok"/>
        </w:rPr>
        <w:t xml:space="preserve"># each time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sig.e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Midterm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Midterm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sig.e)</w:t>
      </w:r>
      <w:r>
        <w:br/>
      </w:r>
      <w:r>
        <w:br/>
      </w:r>
      <w:r>
        <w:rPr>
          <w:rStyle w:val="NormalTok"/>
        </w:rPr>
        <w:t xml:space="preserve">sim.df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(Midterm, Project, Final)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(sim.df)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nal-Midterm-Project-Simulation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 the model and predict Final when Midterm=100 and Project=30.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(Final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Midterm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Project)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Final ~ Midterm + Project)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-6.8069 -1.4294  0.0691  1.5833  8.1662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11.46967    1.43076   8.016 2.52e-14 ***</w:t>
      </w:r>
      <w:r>
        <w:br/>
      </w:r>
      <w:r>
        <w:rPr>
          <w:rStyle w:val="VerbatimChar"/>
        </w:rPr>
        <w:t xml:space="preserve">## Midterm      0.53883    0.01201  44.858  &lt; 2e-16 ***</w:t>
      </w:r>
      <w:r>
        <w:br/>
      </w:r>
      <w:r>
        <w:rPr>
          <w:rStyle w:val="VerbatimChar"/>
        </w:rPr>
        <w:t xml:space="preserve">## Project      1.15889    0.04382  26.450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2.473 on 297 degrees of freedom</w:t>
      </w:r>
      <w:r>
        <w:br/>
      </w:r>
      <w:r>
        <w:rPr>
          <w:rStyle w:val="VerbatimChar"/>
        </w:rPr>
        <w:t xml:space="preserve">## Multiple R-squared:  0.9032, Adjusted R-squared:  0.9025 </w:t>
      </w:r>
      <w:r>
        <w:br/>
      </w:r>
      <w:r>
        <w:rPr>
          <w:rStyle w:val="VerbatimChar"/>
        </w:rPr>
        <w:t xml:space="preserve">## F-statistic:  1385 on 2 and 297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(m1,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Midterm=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Project=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1 100.1195 99.40172 100.8374</w:t>
      </w:r>
    </w:p>
    <w:p>
      <w:pPr>
        <w:pStyle w:val="FirstParagraph"/>
      </w:pPr>
      <w:r>
        <w:t xml:space="preserve">Here’s a 3D scatterplot with the fitted regression surface (must be run interactively to view):</w:t>
      </w:r>
    </w:p>
    <w:p>
      <w:pPr>
        <w:pStyle w:val="SourceCode"/>
      </w:pPr>
      <w:r>
        <w:rPr>
          <w:rStyle w:val="FunctionTok"/>
        </w:rPr>
        <w:t xml:space="preserve">plot3d</w:t>
      </w:r>
      <w:r>
        <w:rPr>
          <w:rStyle w:val="NormalTok"/>
        </w:rPr>
        <w:t xml:space="preserve"> (Midterm, Project, Final,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"Midterm"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zlab=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lm_surface</w:t>
      </w:r>
      <w:r>
        <w:rPr>
          <w:rStyle w:val="NormalTok"/>
        </w:rPr>
        <w:t xml:space="preserve"> (m1)</w:t>
      </w:r>
    </w:p>
    <w:p>
      <w:pPr>
        <w:pStyle w:val="FirstParagraph"/>
      </w:pPr>
      <w:r>
        <w:t xml:space="preserve">Note in the output above that Midterm has a larger t-value and a smaller p-value,</w:t>
      </w:r>
      <w:r>
        <w:t xml:space="preserve"> </w:t>
      </w:r>
      <w:r>
        <w:t xml:space="preserve">which means it has a stronger statistical relationship with Final.</w:t>
      </w:r>
    </w:p>
    <w:bookmarkStart w:id="25" w:name="rescale-project-to-match-midterm"/>
    <w:p>
      <w:pPr>
        <w:pStyle w:val="Heading3"/>
      </w:pPr>
      <w:r>
        <w:t xml:space="preserve">Rescale Project to match Midterm</w:t>
      </w:r>
    </w:p>
    <w:p>
      <w:pPr>
        <w:pStyle w:val="FirstParagraph"/>
      </w:pPr>
      <w:r>
        <w:t xml:space="preserve">Using the same data set, let’s rescale the Project score to be 0 to 100 (from 0 to 30).</w:t>
      </w:r>
    </w:p>
    <w:p>
      <w:pPr>
        <w:pStyle w:val="SourceCode"/>
      </w:pPr>
      <w:r>
        <w:rPr>
          <w:rStyle w:val="NormalTok"/>
        </w:rPr>
        <w:t xml:space="preserve">Project100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Project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m1a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(Final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Midterm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Project100)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(m1a)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Final ~ Midterm + Project100)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-6.8069 -1.4294  0.0691  1.5833  8.1662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11.46967    1.43076   8.016 2.52e-14 ***</w:t>
      </w:r>
      <w:r>
        <w:br/>
      </w:r>
      <w:r>
        <w:rPr>
          <w:rStyle w:val="VerbatimChar"/>
        </w:rPr>
        <w:t xml:space="preserve">## Midterm      0.53883    0.01201  44.858  &lt; 2e-16 ***</w:t>
      </w:r>
      <w:r>
        <w:br/>
      </w:r>
      <w:r>
        <w:rPr>
          <w:rStyle w:val="VerbatimChar"/>
        </w:rPr>
        <w:t xml:space="preserve">## Project100   0.34767    0.01314  26.450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2.473 on 297 degrees of freedom</w:t>
      </w:r>
      <w:r>
        <w:br/>
      </w:r>
      <w:r>
        <w:rPr>
          <w:rStyle w:val="VerbatimChar"/>
        </w:rPr>
        <w:t xml:space="preserve">## Multiple R-squared:  0.9032, Adjusted R-squared:  0.9025 </w:t>
      </w:r>
      <w:r>
        <w:br/>
      </w:r>
      <w:r>
        <w:rPr>
          <w:rStyle w:val="VerbatimChar"/>
        </w:rPr>
        <w:t xml:space="preserve">## F-statistic:  1385 on 2 and 297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(m1a,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Midterm=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Project100=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1 100.1195 99.40172 100.8374</w:t>
      </w:r>
    </w:p>
    <w:p>
      <w:pPr>
        <w:pStyle w:val="FirstParagraph"/>
      </w:pPr>
      <w:r>
        <w:t xml:space="preserve">Note that the y-intercept and the Midterm slope are exactly the same as before</w:t>
      </w:r>
      <w:r>
        <w:t xml:space="preserve"> </w:t>
      </w:r>
      <w:r>
        <w:t xml:space="preserve">(estimate, standard error, t-value and p-value).</w:t>
      </w:r>
    </w:p>
    <w:p>
      <w:pPr>
        <w:pStyle w:val="BodyText"/>
      </w:pPr>
      <w:r>
        <w:t xml:space="preserve">Also note that the coefficient (slope) for Project is exactly the previous</w:t>
      </w:r>
      <w:r>
        <w:t xml:space="preserve"> </w:t>
      </w:r>
      <w:r>
        <w:t xml:space="preserve">coefficient times 3/10: 0.34767 = 1.15887*3/10. And the t-value and p-value</w:t>
      </w:r>
      <w:r>
        <w:t xml:space="preserve"> </w:t>
      </w:r>
      <w:r>
        <w:t xml:space="preserve">are exactly the same as before.</w:t>
      </w:r>
    </w:p>
    <w:p>
      <w:pPr>
        <w:pStyle w:val="BodyText"/>
      </w:pPr>
      <w:r>
        <w:t xml:space="preserve">Also note that the predicted Final score with Midterm=100 and Project100=100 (Project=30)</w:t>
      </w:r>
      <w:r>
        <w:t xml:space="preserve"> </w:t>
      </w:r>
      <w:r>
        <w:t xml:space="preserve">is exactly the same as before, including the confidence interval for the prediction.</w:t>
      </w:r>
    </w:p>
    <w:bookmarkEnd w:id="25"/>
    <w:bookmarkEnd w:id="26"/>
    <w:bookmarkStart w:id="32" w:name="Xac765da9acc2b9eb740825b20485656338301d7"/>
    <w:p>
      <w:pPr>
        <w:pStyle w:val="Heading2"/>
      </w:pPr>
      <w:r>
        <w:t xml:space="preserve">Standardize both predictor variables to have mean=0 and sd=1</w:t>
      </w:r>
    </w:p>
    <w:p>
      <w:pPr>
        <w:pStyle w:val="FirstParagraph"/>
      </w:pPr>
      <w:r>
        <w:t xml:space="preserve">Next we standardize both predictor variables to have a mean of 0 and</w:t>
      </w:r>
      <w:r>
        <w:t xml:space="preserve"> </w:t>
      </w:r>
      <w:r>
        <w:t xml:space="preserve">a standard deviation of 1.</w:t>
      </w:r>
    </w:p>
    <w:p>
      <w:pPr>
        <w:pStyle w:val="SourceCode"/>
      </w:pPr>
      <w:r>
        <w:rPr>
          <w:rStyle w:val="NormalTok"/>
        </w:rPr>
        <w:t xml:space="preserve">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Midterm.std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 (sim.df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Project.std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 (sim.df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(sim.df)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inal-Midterm-Project-Simulation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(Final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Midterm.std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Project.std,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sim.df)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Final ~ Midterm.std + Project.std, data = sim.df)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-6.8069 -1.4294  0.0691  1.5833  8.1662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83.3025     0.1428  583.50   &lt;2e-16 ***</w:t>
      </w:r>
      <w:r>
        <w:br/>
      </w:r>
      <w:r>
        <w:rPr>
          <w:rStyle w:val="VerbatimChar"/>
        </w:rPr>
        <w:t xml:space="preserve">## Midterm.std   6.4166     0.1430   44.86   &lt;2e-16 ***</w:t>
      </w:r>
      <w:r>
        <w:br/>
      </w:r>
      <w:r>
        <w:rPr>
          <w:rStyle w:val="VerbatimChar"/>
        </w:rPr>
        <w:t xml:space="preserve">## Project.std   3.7834     0.1430   26.45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2.473 on 297 degrees of freedom</w:t>
      </w:r>
      <w:r>
        <w:br/>
      </w:r>
      <w:r>
        <w:rPr>
          <w:rStyle w:val="VerbatimChar"/>
        </w:rPr>
        <w:t xml:space="preserve">## Multiple R-squared:  0.9032, Adjusted R-squared:  0.9025 </w:t>
      </w:r>
      <w:r>
        <w:br/>
      </w:r>
      <w:r>
        <w:rPr>
          <w:rStyle w:val="VerbatimChar"/>
        </w:rPr>
        <w:t xml:space="preserve">## F-statistic:  1385 on 2 and 297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(m2,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Midterm.std=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(Midterm))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(Midterm),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Project.std=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(Project))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(Project)),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1 100.1195 99.40172 100.8374</w:t>
      </w:r>
    </w:p>
    <w:p>
      <w:pPr>
        <w:pStyle w:val="FirstParagraph"/>
      </w:pPr>
      <w:r>
        <w:t xml:space="preserve">In this case, all of the coefficients are different, but the t-values and</w:t>
      </w:r>
      <w:r>
        <w:t xml:space="preserve"> </w:t>
      </w:r>
      <w:r>
        <w:t xml:space="preserve">p-values for the slopes are still the same. And Midterm still has the stronger association</w:t>
      </w:r>
      <w:r>
        <w:t xml:space="preserve"> </w:t>
      </w:r>
      <w:r>
        <w:t xml:space="preserve">with Final (larger t-value).</w:t>
      </w:r>
    </w:p>
    <w:bookmarkStart w:id="30" w:name="d-plot-with-the-standardized-data"/>
    <w:p>
      <w:pPr>
        <w:pStyle w:val="Heading3"/>
      </w:pPr>
      <w:r>
        <w:t xml:space="preserve">3D Plot with the standardized data</w:t>
      </w:r>
    </w:p>
    <w:p>
      <w:pPr>
        <w:pStyle w:val="FirstParagraph"/>
      </w:pPr>
      <w:r>
        <w:t xml:space="preserve">Must be run interactively to view.</w:t>
      </w:r>
    </w:p>
    <w:p>
      <w:pPr>
        <w:pStyle w:val="SourceCode"/>
      </w:pPr>
      <w:r>
        <w:rPr>
          <w:rStyle w:val="FunctionTok"/>
        </w:rPr>
        <w:t xml:space="preserve">plot3d</w:t>
      </w:r>
      <w:r>
        <w:rPr>
          <w:rStyle w:val="NormalTok"/>
        </w:rPr>
        <w:t xml:space="preserve"> (sim.df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Midterm.std, sim.df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Project.std, Final,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"Midterm 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"Project std"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zlab=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lm_surface</w:t>
      </w:r>
      <w:r>
        <w:rPr>
          <w:rStyle w:val="NormalTok"/>
        </w:rPr>
        <w:t xml:space="preserve">(m1)</w:t>
      </w:r>
    </w:p>
    <w:bookmarkEnd w:id="30"/>
    <w:bookmarkStart w:id="31" w:name="conclusions-from-the-analyses-above"/>
    <w:p>
      <w:pPr>
        <w:pStyle w:val="Heading3"/>
      </w:pPr>
      <w:r>
        <w:t xml:space="preserve">Conclusions from the analyses above:</w:t>
      </w:r>
    </w:p>
    <w:p>
      <w:pPr>
        <w:numPr>
          <w:ilvl w:val="0"/>
          <w:numId w:val="1002"/>
        </w:numPr>
        <w:pStyle w:val="Compact"/>
      </w:pPr>
      <w:r>
        <w:t xml:space="preserve">Beware of interpreting the relative sizes of regression coefficients when the</w:t>
      </w:r>
      <w:r>
        <w:t xml:space="preserve"> </w:t>
      </w:r>
      <w:r>
        <w:t xml:space="preserve">predictor variables are on different scales.</w:t>
      </w:r>
    </w:p>
    <w:p>
      <w:pPr>
        <w:numPr>
          <w:ilvl w:val="0"/>
          <w:numId w:val="1002"/>
        </w:numPr>
        <w:pStyle w:val="Compact"/>
      </w:pPr>
      <w:r>
        <w:t xml:space="preserve">The t-value and p-value for each predictor don’t change when you rescale that</w:t>
      </w:r>
      <w:r>
        <w:t xml:space="preserve"> </w:t>
      </w:r>
      <w:r>
        <w:t xml:space="preserve">predictor, so t-values and/or p-values can be used to judge the relative</w:t>
      </w:r>
      <w:r>
        <w:t xml:space="preserve"> </w:t>
      </w:r>
      <w:r>
        <w:t xml:space="preserve">statistical importance across predictor variables.</w:t>
      </w:r>
    </w:p>
    <w:bookmarkEnd w:id="31"/>
    <w:bookmarkEnd w:id="32"/>
    <w:bookmarkStart w:id="41" w:name="the-range-of-each-predictor-matters"/>
    <w:p>
      <w:pPr>
        <w:pStyle w:val="Heading1"/>
      </w:pPr>
      <w:r>
        <w:t xml:space="preserve">The range of each predictor matters</w:t>
      </w:r>
    </w:p>
    <w:p>
      <w:pPr>
        <w:pStyle w:val="FirstParagraph"/>
      </w:pPr>
      <w:r>
        <w:t xml:space="preserve">Next, we will demonstrate what happens when the Midterm has a narrower range of values:</w:t>
      </w:r>
      <w:r>
        <w:t xml:space="preserve"> </w:t>
      </w:r>
      <w:r>
        <w:t xml:space="preserve">80 to 100 instead of 60 to 100.</w:t>
      </w:r>
    </w:p>
    <w:p>
      <w:pPr>
        <w:pStyle w:val="SourceCode"/>
      </w:pPr>
      <w:r>
        <w:rPr>
          <w:rStyle w:val="NormalTok"/>
        </w:rPr>
        <w:t xml:space="preserve">Midterm2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Project2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Final2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Midterm2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Project2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 (n,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sig.e)</w:t>
      </w:r>
      <w:r>
        <w:br/>
      </w:r>
      <w:r>
        <w:br/>
      </w:r>
      <w:r>
        <w:rPr>
          <w:rStyle w:val="NormalTok"/>
        </w:rPr>
        <w:t xml:space="preserve">sim.df2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(Midterm2, Project2, Final2)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(sim.df2)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nal-Midterm-Project-Simulation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Midterm having a narrower range, even with the same population coefficient</w:t>
      </w:r>
      <w:r>
        <w:t xml:space="preserve"> </w:t>
      </w:r>
      <w:r>
        <w:t xml:space="preserve">values, it now appears that Project has a stronger association with Final.</w:t>
      </w:r>
    </w:p>
    <w:p>
      <w:pPr>
        <w:pStyle w:val="BodyText"/>
      </w:pPr>
      <w:r>
        <w:t xml:space="preserve">3D scatterplot and regression fit:</w:t>
      </w:r>
    </w:p>
    <w:p>
      <w:pPr>
        <w:pStyle w:val="SourceCode"/>
      </w:pPr>
      <w:r>
        <w:rPr>
          <w:rStyle w:val="FunctionTok"/>
        </w:rPr>
        <w:t xml:space="preserve">plot3d</w:t>
      </w:r>
      <w:r>
        <w:rPr>
          <w:rStyle w:val="NormalTok"/>
        </w:rPr>
        <w:t xml:space="preserve"> (Midterm2, Project2, Final2,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"Midterm"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"Project"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zlab=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(Final2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Midterm2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Project2,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sim.df2)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Final2 ~ Midterm2 + Project2, data = sim.df2)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-6.2337 -1.5880 -0.0975  1.8123  5.8513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8.26125    2.37795   3.474 0.000589 ***</w:t>
      </w:r>
      <w:r>
        <w:br/>
      </w:r>
      <w:r>
        <w:rPr>
          <w:rStyle w:val="VerbatimChar"/>
        </w:rPr>
        <w:t xml:space="preserve">## Midterm2     0.56805    0.02405  23.617  &lt; 2e-16 ***</w:t>
      </w:r>
      <w:r>
        <w:br/>
      </w:r>
      <w:r>
        <w:rPr>
          <w:rStyle w:val="VerbatimChar"/>
        </w:rPr>
        <w:t xml:space="preserve">## Project2     1.16161    0.04086  28.428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2.444 on 297 degrees of freedom</w:t>
      </w:r>
      <w:r>
        <w:br/>
      </w:r>
      <w:r>
        <w:rPr>
          <w:rStyle w:val="VerbatimChar"/>
        </w:rPr>
        <w:t xml:space="preserve">## Multiple R-squared:  0.8239, Adjusted R-squared:  0.8227 </w:t>
      </w:r>
      <w:r>
        <w:br/>
      </w:r>
      <w:r>
        <w:rPr>
          <w:rStyle w:val="VerbatimChar"/>
        </w:rPr>
        <w:t xml:space="preserve">## F-statistic: 694.6 on 2 and 297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(m3,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Midterm2=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Project2=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99.9148 99.21601 100.6136</w:t>
      </w:r>
    </w:p>
    <w:p>
      <w:pPr>
        <w:pStyle w:val="SourceCode"/>
      </w:pPr>
      <w:r>
        <w:rPr>
          <w:rStyle w:val="FunctionTok"/>
        </w:rPr>
        <w:t xml:space="preserve">lm_surface</w:t>
      </w:r>
      <w:r>
        <w:rPr>
          <w:rStyle w:val="NormalTok"/>
        </w:rPr>
        <w:t xml:space="preserve"> (m3)</w:t>
      </w:r>
    </w:p>
    <w:p>
      <w:pPr>
        <w:pStyle w:val="FirstParagraph"/>
      </w:pPr>
      <w:r>
        <w:t xml:space="preserve">Now it appears that Project has a stronger relationship with Final. The</w:t>
      </w:r>
      <w:r>
        <w:t xml:space="preserve"> </w:t>
      </w:r>
      <w:r>
        <w:t xml:space="preserve">parameter estimates are sill about the same, so we can still make the argument</w:t>
      </w:r>
      <w:r>
        <w:t xml:space="preserve"> </w:t>
      </w:r>
      <w:r>
        <w:t xml:space="preserve">that Midterm has the strong effect. And it does, if we’re talking about the</w:t>
      </w:r>
      <w:r>
        <w:t xml:space="preserve"> </w:t>
      </w:r>
      <w:r>
        <w:t xml:space="preserve">actual (practical) effect size. Remember that statistical significance and</w:t>
      </w:r>
      <w:r>
        <w:t xml:space="preserve"> </w:t>
      </w:r>
      <w:r>
        <w:t xml:space="preserve">practical importance are two different things. Midterm still has the larger</w:t>
      </w:r>
      <w:r>
        <w:t xml:space="preserve"> </w:t>
      </w:r>
      <w:r>
        <w:t xml:space="preserve">practical importance, but it’s effect is less statistically significant, because</w:t>
      </w:r>
      <w:r>
        <w:t xml:space="preserve"> </w:t>
      </w:r>
      <w:r>
        <w:t xml:space="preserve">we have a narrower range of values (80-100).</w:t>
      </w:r>
    </w:p>
    <w:bookmarkStart w:id="39" w:name="standardize-the-predictor-variables"/>
    <w:p>
      <w:pPr>
        <w:pStyle w:val="Heading3"/>
      </w:pPr>
      <w:r>
        <w:t xml:space="preserve">Standardize the predictor variables</w:t>
      </w:r>
    </w:p>
    <w:p>
      <w:pPr>
        <w:pStyle w:val="SourceCode"/>
      </w:pPr>
      <w:r>
        <w:rPr>
          <w:rStyle w:val="NormalTok"/>
        </w:rPr>
        <w:t xml:space="preserve">sim.df2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Midterm.std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 (sim.df2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Midterm2)[,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sim.df2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Project.std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 (sim.df2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Project2)[,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(sim.df)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nal-Midterm-Project-Simulation_files/figure-docx/unnamed-chunk-10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(Final2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Midterm.std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Project.std,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sim.df2)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Final2 ~ Midterm.std + Project.std, data = sim.df2)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-6.2337 -1.5880 -0.0975  1.8123  5.8513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87.8199     0.1411  622.41   &lt;2e-16 ***</w:t>
      </w:r>
      <w:r>
        <w:br/>
      </w:r>
      <w:r>
        <w:rPr>
          <w:rStyle w:val="VerbatimChar"/>
        </w:rPr>
        <w:t xml:space="preserve">## Midterm.std   3.3384     0.1414   23.62   &lt;2e-16 ***</w:t>
      </w:r>
      <w:r>
        <w:br/>
      </w:r>
      <w:r>
        <w:rPr>
          <w:rStyle w:val="VerbatimChar"/>
        </w:rPr>
        <w:t xml:space="preserve">## Project.std   4.0183     0.1414   28.43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2.444 on 297 degrees of freedom</w:t>
      </w:r>
      <w:r>
        <w:br/>
      </w:r>
      <w:r>
        <w:rPr>
          <w:rStyle w:val="VerbatimChar"/>
        </w:rPr>
        <w:t xml:space="preserve">## Multiple R-squared:  0.8239, Adjusted R-squared:  0.8227 </w:t>
      </w:r>
      <w:r>
        <w:br/>
      </w:r>
      <w:r>
        <w:rPr>
          <w:rStyle w:val="VerbatimChar"/>
        </w:rPr>
        <w:t xml:space="preserve">## F-statistic: 694.6 on 2 and 297 DF,  p-value: &lt; 2.2e-16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 (m4,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Midterm.std=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(Midterm2))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(Midterm2),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Project.std=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(Project2))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 (Project2)),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fit      lwr      upr</w:t>
      </w:r>
      <w:r>
        <w:br/>
      </w:r>
      <w:r>
        <w:rPr>
          <w:rStyle w:val="VerbatimChar"/>
        </w:rPr>
        <w:t xml:space="preserve">## 1 99.9148 99.21601 100.6136</w:t>
      </w:r>
    </w:p>
    <w:bookmarkEnd w:id="39"/>
    <w:bookmarkStart w:id="40" w:name="X22d6e5d287d2682600474ea070a9c719b6d0029"/>
    <w:p>
      <w:pPr>
        <w:pStyle w:val="Heading3"/>
      </w:pPr>
      <w:r>
        <w:t xml:space="preserve">Standardizing the predictor variables does not affect any of these results:</w:t>
      </w:r>
    </w:p>
    <w:p>
      <w:pPr>
        <w:numPr>
          <w:ilvl w:val="0"/>
          <w:numId w:val="1003"/>
        </w:numPr>
        <w:pStyle w:val="Compact"/>
      </w:pPr>
      <w:r>
        <w:t xml:space="preserve">Predicted response and its confidence (or prediction) interval</w:t>
      </w:r>
    </w:p>
    <w:p>
      <w:pPr>
        <w:numPr>
          <w:ilvl w:val="0"/>
          <w:numId w:val="1003"/>
        </w:numPr>
        <w:pStyle w:val="Compact"/>
      </w:pPr>
      <w:r>
        <w:t xml:space="preserve">t-values and p-values on the coefficients</w:t>
      </w:r>
    </w:p>
    <w:p>
      <w:pPr>
        <w:numPr>
          <w:ilvl w:val="0"/>
          <w:numId w:val="1003"/>
        </w:numPr>
        <w:pStyle w:val="Compact"/>
      </w:pPr>
      <w:r>
        <w:t xml:space="preserve">R^2, R_adj^2, residual standard error, F-test and its p-value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Midterm Project Simulation</dc:title>
  <dc:creator>Dr. Phil</dc:creator>
  <cp:keywords/>
  <dcterms:created xsi:type="dcterms:W3CDTF">2023-02-27T19:40:13Z</dcterms:created>
  <dcterms:modified xsi:type="dcterms:W3CDTF">2023-02-27T19:40:13Z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2023-02-27</vt:lpwstr>
  </property>
  <property fmtid="{D5CDD505-2E9C-101B-9397-08002B2CF9AE}" pid="3" name="output">
    <vt:lpwstr/>
  </property>
</Properties>
</file>