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2A380" w14:textId="0241F9D6" w:rsidR="00E5414F" w:rsidRPr="009050F2" w:rsidRDefault="007941AA">
      <w:pPr>
        <w:rPr>
          <w:sz w:val="28"/>
          <w:szCs w:val="28"/>
          <w:lang w:val="en-US"/>
        </w:rPr>
      </w:pPr>
      <w:r w:rsidRPr="009050F2">
        <w:rPr>
          <w:sz w:val="28"/>
          <w:szCs w:val="28"/>
          <w:lang w:val="en-US"/>
        </w:rPr>
        <w:t>Nomes:  Gustavo Hammerschmidt, Bruno Siedekum Thuma.</w:t>
      </w:r>
    </w:p>
    <w:p w14:paraId="2518FF66" w14:textId="381A295C" w:rsidR="007941AA" w:rsidRPr="009050F2" w:rsidRDefault="007941AA" w:rsidP="007941AA">
      <w:pPr>
        <w:rPr>
          <w:sz w:val="36"/>
          <w:szCs w:val="36"/>
          <w:lang w:val="en-US"/>
        </w:rPr>
      </w:pPr>
    </w:p>
    <w:p w14:paraId="5EB1851D" w14:textId="218833B6" w:rsidR="007941AA" w:rsidRPr="009050F2" w:rsidRDefault="007941AA" w:rsidP="007941AA">
      <w:pPr>
        <w:jc w:val="center"/>
        <w:rPr>
          <w:sz w:val="36"/>
          <w:szCs w:val="36"/>
        </w:rPr>
      </w:pPr>
      <w:r w:rsidRPr="009050F2">
        <w:rPr>
          <w:sz w:val="36"/>
          <w:szCs w:val="36"/>
        </w:rPr>
        <w:t>Gerenciadores de Referências</w:t>
      </w:r>
    </w:p>
    <w:p w14:paraId="25B4195F" w14:textId="093E10D4" w:rsidR="007941AA" w:rsidRPr="009050F2" w:rsidRDefault="007941AA">
      <w:pPr>
        <w:rPr>
          <w:sz w:val="24"/>
          <w:szCs w:val="24"/>
        </w:rPr>
      </w:pPr>
    </w:p>
    <w:p w14:paraId="2D185B26" w14:textId="060B3F4D" w:rsidR="007941AA" w:rsidRPr="009050F2" w:rsidRDefault="007941AA" w:rsidP="009050F2">
      <w:pPr>
        <w:ind w:firstLine="708"/>
        <w:jc w:val="both"/>
        <w:rPr>
          <w:sz w:val="24"/>
          <w:szCs w:val="24"/>
        </w:rPr>
      </w:pPr>
      <w:r w:rsidRPr="009050F2">
        <w:rPr>
          <w:sz w:val="24"/>
          <w:szCs w:val="24"/>
        </w:rPr>
        <w:t>Bib</w:t>
      </w:r>
      <w:r w:rsidRPr="009050F2">
        <w:rPr>
          <w:sz w:val="24"/>
          <w:szCs w:val="24"/>
        </w:rPr>
        <w:t>T</w:t>
      </w:r>
      <w:r w:rsidRPr="009050F2">
        <w:rPr>
          <w:sz w:val="24"/>
          <w:szCs w:val="24"/>
        </w:rPr>
        <w:t xml:space="preserve">ex é um sistema de referências </w:t>
      </w:r>
      <w:r w:rsidRPr="009050F2">
        <w:rPr>
          <w:sz w:val="24"/>
          <w:szCs w:val="24"/>
        </w:rPr>
        <w:t>semiestruturado, usado pelo Latex, para organização de referências; o arquivo se assemelha a arquivos do formato JSON</w:t>
      </w:r>
      <w:r w:rsidRPr="009050F2">
        <w:rPr>
          <w:sz w:val="24"/>
          <w:szCs w:val="24"/>
        </w:rPr>
        <w:t>.</w:t>
      </w:r>
      <w:r w:rsidRPr="009050F2">
        <w:rPr>
          <w:sz w:val="24"/>
          <w:szCs w:val="24"/>
        </w:rPr>
        <w:t xml:space="preserve"> Outro tipo de gerenciador de referências é </w:t>
      </w:r>
      <w:r w:rsidRPr="009050F2">
        <w:rPr>
          <w:sz w:val="24"/>
          <w:szCs w:val="24"/>
        </w:rPr>
        <w:t>Papers,</w:t>
      </w:r>
      <w:r w:rsidRPr="009050F2">
        <w:rPr>
          <w:sz w:val="24"/>
          <w:szCs w:val="24"/>
        </w:rPr>
        <w:t xml:space="preserve"> ele</w:t>
      </w:r>
      <w:r w:rsidRPr="009050F2">
        <w:rPr>
          <w:sz w:val="24"/>
          <w:szCs w:val="24"/>
        </w:rPr>
        <w:t xml:space="preserve"> possibilita o acesso de múltiplos desenvol</w:t>
      </w:r>
      <w:r w:rsidRPr="009050F2">
        <w:rPr>
          <w:sz w:val="24"/>
          <w:szCs w:val="24"/>
        </w:rPr>
        <w:t>v</w:t>
      </w:r>
      <w:r w:rsidRPr="009050F2">
        <w:rPr>
          <w:sz w:val="24"/>
          <w:szCs w:val="24"/>
        </w:rPr>
        <w:t>edores à biblioteca simultaneamente</w:t>
      </w:r>
      <w:r w:rsidRPr="009050F2">
        <w:rPr>
          <w:sz w:val="24"/>
          <w:szCs w:val="24"/>
        </w:rPr>
        <w:t>:</w:t>
      </w:r>
      <w:r w:rsidRPr="009050F2">
        <w:rPr>
          <w:sz w:val="24"/>
          <w:szCs w:val="24"/>
        </w:rPr>
        <w:t xml:space="preserve"> </w:t>
      </w:r>
      <w:r w:rsidRPr="009050F2">
        <w:rPr>
          <w:sz w:val="24"/>
          <w:szCs w:val="24"/>
        </w:rPr>
        <w:t>o</w:t>
      </w:r>
      <w:r w:rsidRPr="009050F2">
        <w:rPr>
          <w:sz w:val="24"/>
          <w:szCs w:val="24"/>
        </w:rPr>
        <w:t xml:space="preserve"> foco está em compartilhar a biblioteca.</w:t>
      </w:r>
      <w:r w:rsidRPr="009050F2">
        <w:rPr>
          <w:sz w:val="24"/>
          <w:szCs w:val="24"/>
        </w:rPr>
        <w:t xml:space="preserve"> Por fim, vimos sobre o funcionamento do gerenciador ReadCube, um gerenciador que tem uma proposta estilo framework, onde o programador digita o nome do artigo e o software se encarrega de encontrar os dados necessários para citar como referência</w:t>
      </w:r>
      <w:r w:rsidR="009050F2" w:rsidRPr="009050F2">
        <w:rPr>
          <w:sz w:val="24"/>
          <w:szCs w:val="24"/>
        </w:rPr>
        <w:t xml:space="preserve">: sua proposta está centrada em tornar a experiência do usuário simples e rápida. </w:t>
      </w:r>
      <w:r w:rsidRPr="009050F2">
        <w:rPr>
          <w:sz w:val="24"/>
          <w:szCs w:val="24"/>
        </w:rPr>
        <w:t>O mais adequado, segundo consenso do grupo, seria o BibTex devido a facilidade de compatibilidade com arquivos escritos em Latex, e por ser de fácil compreensão.</w:t>
      </w:r>
    </w:p>
    <w:sectPr w:rsidR="007941AA" w:rsidRPr="00905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AA"/>
    <w:rsid w:val="007941AA"/>
    <w:rsid w:val="009050F2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0AF4"/>
  <w15:chartTrackingRefBased/>
  <w15:docId w15:val="{F557D831-C723-4476-B5A5-C29BECF4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2020-08-08T00:14:00Z</dcterms:created>
  <dcterms:modified xsi:type="dcterms:W3CDTF">2020-08-08T00:26:00Z</dcterms:modified>
</cp:coreProperties>
</file>