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analysis</w:t>
      </w:r>
      <w:r>
        <w:t xml:space="preserve"> </w:t>
      </w:r>
      <w:r>
        <w:t xml:space="preserve">of</w:t>
      </w:r>
      <w:r>
        <w:t xml:space="preserve"> </w:t>
      </w:r>
      <w:r>
        <w:t xml:space="preserve">estimated</w:t>
      </w:r>
      <w:r>
        <w:t xml:space="preserve"> </w:t>
      </w:r>
      <w:r>
        <w:t xml:space="preserve">glomerular</w:t>
      </w:r>
      <w:r>
        <w:t xml:space="preserve"> </w:t>
      </w:r>
      <w:r>
        <w:t xml:space="preserve">filtration</w:t>
      </w:r>
      <w:r>
        <w:t xml:space="preserve"> </w:t>
      </w:r>
      <w:r>
        <w:t xml:space="preserve">rate</w:t>
      </w:r>
      <w:r>
        <w:t xml:space="preserve"> </w:t>
      </w:r>
      <w:r>
        <w:t xml:space="preserve">using</w:t>
      </w:r>
      <w:r>
        <w:t xml:space="preserve"> </w:t>
      </w:r>
      <w:r>
        <w:t xml:space="preserve">the</w:t>
      </w:r>
      <w:r>
        <w:t xml:space="preserve"> </w:t>
      </w:r>
      <w:r>
        <w:t xml:space="preserve">PROMISE</w:t>
      </w:r>
      <w:r>
        <w:t xml:space="preserve"> </w:t>
      </w:r>
      <w:r>
        <w:t xml:space="preserve">cohort</w:t>
      </w:r>
      <w:r>
        <w:t xml:space="preserve"> </w:t>
      </w:r>
      <w:r>
        <w:t xml:space="preserve">at</w:t>
      </w:r>
      <w:r>
        <w:t xml:space="preserve"> </w:t>
      </w:r>
      <w:r>
        <w:t xml:space="preserve">baseline</w:t>
      </w:r>
    </w:p>
    <w:p>
      <w:pPr>
        <w:pStyle w:val="Author"/>
      </w:pPr>
      <w:r>
        <w:t xml:space="preserve">WINDY</w:t>
      </w:r>
      <w:r>
        <w:t xml:space="preserve"> </w:t>
      </w:r>
      <w:r>
        <w:t xml:space="preserve">WANG</w:t>
      </w:r>
    </w:p>
    <w:p>
      <w:pPr>
        <w:pStyle w:val="Date"/>
      </w:pPr>
      <w:r>
        <w:t xml:space="preserve">May</w:t>
      </w:r>
      <w:r>
        <w:t xml:space="preserve"> </w:t>
      </w:r>
      <w:r>
        <w:t xml:space="preserve">12,</w:t>
      </w:r>
      <w:r>
        <w:t xml:space="preserve"> </w:t>
      </w:r>
      <w:r>
        <w:t xml:space="preserve">2016</w:t>
      </w:r>
    </w:p>
    <w:p>
      <w:pPr>
        <w:pStyle w:val="Heading2"/>
      </w:pPr>
      <w:bookmarkStart w:id="21" w:name="subject-characterization"/>
      <w:bookmarkEnd w:id="21"/>
      <w:r>
        <w:t xml:space="preserve">Subject Characterization</w:t>
      </w:r>
    </w:p>
    <w:p>
      <w:pPr>
        <w:pStyle w:val="TableCaption"/>
      </w:pPr>
      <w:r>
        <w:t xml:space="preserve">TABLE 1. Subject characteristics according to estimated GFR concentration categories.</w:t>
      </w:r>
    </w:p>
    <w:tbl>
      <w:tblPr>
        <w:tblStyle w:val="TableNormal"/>
        <w:tblW w:type="pct" w:w="6111.111111111111"/>
        <w:tblLook w:firstRow="1"/>
        <w:tblCaption w:val="TABLE 1. Subject characteristics according to estimated GFR concentration categories."/>
      </w:tblPr>
      <w:tblGrid>
        <w:gridCol w:w="2310"/>
        <w:gridCol w:w="1650"/>
        <w:gridCol w:w="1650"/>
        <w:gridCol w:w="1870"/>
        <w:gridCol w:w="2200"/>
      </w:tblGrid>
      <w:tr>
        <w:trPr>
          <w:cnfStyle w:firstRow="1"/>
        </w:trPr>
        <w:tc>
          <w:tcPr>
            <w:tcBorders>
              <w:bottom w:val="single"/>
            </w:tcBorders>
            <w:vAlign w:val="bottom"/>
          </w:tcPr>
          <w:p>
            <w:pPr>
              <w:pStyle w:val="Compact"/>
              <w:jc w:val="left"/>
            </w:pPr>
            <w:r>
              <w:t xml:space="preserve">Row</w:t>
            </w:r>
          </w:p>
        </w:tc>
        <w:tc>
          <w:tcPr>
            <w:tcBorders>
              <w:bottom w:val="single"/>
            </w:tcBorders>
            <w:vAlign w:val="bottom"/>
          </w:tcPr>
          <w:p>
            <w:pPr>
              <w:pStyle w:val="Compact"/>
              <w:jc w:val="left"/>
            </w:pPr>
            <w:r>
              <w:t xml:space="preserve">Normal</w:t>
            </w:r>
          </w:p>
        </w:tc>
        <w:tc>
          <w:tcPr>
            <w:tcBorders>
              <w:bottom w:val="single"/>
            </w:tcBorders>
            <w:vAlign w:val="bottom"/>
          </w:tcPr>
          <w:p>
            <w:pPr>
              <w:pStyle w:val="Compact"/>
              <w:jc w:val="left"/>
            </w:pPr>
            <w:r>
              <w:t xml:space="preserve">Mild</w:t>
            </w:r>
          </w:p>
        </w:tc>
        <w:tc>
          <w:tcPr>
            <w:tcBorders>
              <w:bottom w:val="single"/>
            </w:tcBorders>
            <w:vAlign w:val="bottom"/>
          </w:tcPr>
          <w:p>
            <w:pPr>
              <w:pStyle w:val="Compact"/>
              <w:jc w:val="left"/>
            </w:pPr>
            <w:r>
              <w:t xml:space="preserve">Moderate</w:t>
            </w:r>
          </w:p>
        </w:tc>
        <w:tc>
          <w:tcPr>
            <w:tcBorders>
              <w:bottom w:val="single"/>
            </w:tcBorders>
            <w:vAlign w:val="bottom"/>
          </w:tcPr>
          <w:p>
            <w:pPr>
              <w:pStyle w:val="Compact"/>
              <w:jc w:val="left"/>
            </w:pPr>
            <w:r>
              <w:t xml:space="preserve">Hyperfiltration</w:t>
            </w:r>
          </w:p>
        </w:tc>
      </w:tr>
      <w:tr>
        <w:tc>
          <w:p>
            <w:pPr>
              <w:pStyle w:val="Compact"/>
              <w:jc w:val="left"/>
            </w:pPr>
            <w:r>
              <w:t xml:space="preserve">Age</w:t>
            </w:r>
          </w:p>
        </w:tc>
        <w:tc>
          <w:p>
            <w:pPr>
              <w:pStyle w:val="Compact"/>
              <w:jc w:val="left"/>
            </w:pPr>
            <w:r>
              <w:t xml:space="preserve">49.5 (9.1)</w:t>
            </w:r>
          </w:p>
        </w:tc>
        <w:tc>
          <w:p>
            <w:pPr>
              <w:pStyle w:val="Compact"/>
              <w:jc w:val="left"/>
            </w:pPr>
            <w:r>
              <w:t xml:space="preserve">56.3 (10.3)</w:t>
            </w:r>
          </w:p>
        </w:tc>
        <w:tc>
          <w:p>
            <w:pPr>
              <w:pStyle w:val="Compact"/>
              <w:jc w:val="left"/>
            </w:pPr>
            <w:r>
              <w:t xml:space="preserve">66.5 (12.0)</w:t>
            </w:r>
          </w:p>
        </w:tc>
        <w:tc>
          <w:p>
            <w:pPr>
              <w:pStyle w:val="Compact"/>
              <w:jc w:val="left"/>
            </w:pPr>
            <w:r>
              <w:t xml:space="preserve">38.7 (7.8)</w:t>
            </w:r>
          </w:p>
        </w:tc>
      </w:tr>
      <w:tr>
        <w:tc>
          <w:p>
            <w:pPr>
              <w:pStyle w:val="Compact"/>
              <w:jc w:val="left"/>
            </w:pPr>
            <w:r>
              <w:t xml:space="preserve">Ethnicity</w:t>
            </w:r>
          </w:p>
        </w:tc>
        <w:tc>
          <w:p>
            <w:pStyle w:val="Compact"/>
          </w:p>
        </w:tc>
        <w:tc>
          <w:p>
            <w:pStyle w:val="Compact"/>
          </w:p>
        </w:tc>
        <w:tc>
          <w:p>
            <w:pStyle w:val="Compact"/>
          </w:p>
        </w:tc>
        <w:tc>
          <w:p>
            <w:pStyle w:val="Compact"/>
          </w:p>
        </w:tc>
      </w:tr>
      <w:tr>
        <w:tc>
          <w:p>
            <w:pPr>
              <w:pStyle w:val="Compact"/>
              <w:jc w:val="left"/>
            </w:pPr>
            <w:r>
              <w:t xml:space="preserve">- European</w:t>
            </w:r>
          </w:p>
        </w:tc>
        <w:tc>
          <w:p>
            <w:pPr>
              <w:pStyle w:val="Compact"/>
              <w:jc w:val="left"/>
            </w:pPr>
            <w:r>
              <w:t xml:space="preserve">376 (65.5%)</w:t>
            </w:r>
          </w:p>
        </w:tc>
        <w:tc>
          <w:p>
            <w:pPr>
              <w:pStyle w:val="Compact"/>
              <w:jc w:val="left"/>
            </w:pPr>
            <w:r>
              <w:t xml:space="preserve">82 (73.2%)</w:t>
            </w:r>
          </w:p>
        </w:tc>
        <w:tc>
          <w:p>
            <w:pPr>
              <w:pStyle w:val="Compact"/>
              <w:jc w:val="left"/>
            </w:pPr>
            <w:r>
              <w:t xml:space="preserve">2 (100%)</w:t>
            </w:r>
          </w:p>
        </w:tc>
        <w:tc>
          <w:p>
            <w:pPr>
              <w:pStyle w:val="Compact"/>
              <w:jc w:val="left"/>
            </w:pPr>
            <w:r>
              <w:t xml:space="preserve">21 (41.2%)</w:t>
            </w:r>
          </w:p>
        </w:tc>
      </w:tr>
      <w:tr>
        <w:tc>
          <w:p>
            <w:pPr>
              <w:pStyle w:val="Compact"/>
              <w:jc w:val="left"/>
            </w:pPr>
            <w:r>
              <w:t xml:space="preserve">- Latino/a</w:t>
            </w:r>
          </w:p>
        </w:tc>
        <w:tc>
          <w:p>
            <w:pPr>
              <w:pStyle w:val="Compact"/>
              <w:jc w:val="left"/>
            </w:pPr>
            <w:r>
              <w:t xml:space="preserve">88 (15.3%)</w:t>
            </w:r>
          </w:p>
        </w:tc>
        <w:tc>
          <w:p>
            <w:pPr>
              <w:pStyle w:val="Compact"/>
              <w:jc w:val="left"/>
            </w:pPr>
            <w:r>
              <w:t xml:space="preserve">16 (14.3%)</w:t>
            </w:r>
          </w:p>
        </w:tc>
        <w:tc>
          <w:p>
            <w:pStyle w:val="Compact"/>
          </w:p>
        </w:tc>
        <w:tc>
          <w:p>
            <w:pPr>
              <w:pStyle w:val="Compact"/>
              <w:jc w:val="left"/>
            </w:pPr>
            <w:r>
              <w:t xml:space="preserve">9 (17.6%)</w:t>
            </w:r>
          </w:p>
        </w:tc>
      </w:tr>
      <w:tr>
        <w:tc>
          <w:p>
            <w:pPr>
              <w:pStyle w:val="Compact"/>
              <w:jc w:val="left"/>
            </w:pPr>
            <w:r>
              <w:t xml:space="preserve">- Other</w:t>
            </w:r>
          </w:p>
        </w:tc>
        <w:tc>
          <w:p>
            <w:pPr>
              <w:pStyle w:val="Compact"/>
              <w:jc w:val="left"/>
            </w:pPr>
            <w:r>
              <w:t xml:space="preserve">65 (11.3%)</w:t>
            </w:r>
          </w:p>
        </w:tc>
        <w:tc>
          <w:p>
            <w:pPr>
              <w:pStyle w:val="Compact"/>
              <w:jc w:val="left"/>
            </w:pPr>
            <w:r>
              <w:t xml:space="preserve">7 (6.2%)</w:t>
            </w:r>
          </w:p>
        </w:tc>
        <w:tc>
          <w:p>
            <w:pStyle w:val="Compact"/>
          </w:p>
        </w:tc>
        <w:tc>
          <w:p>
            <w:pPr>
              <w:pStyle w:val="Compact"/>
              <w:jc w:val="left"/>
            </w:pPr>
            <w:r>
              <w:t xml:space="preserve">16 (31.4%)</w:t>
            </w:r>
          </w:p>
        </w:tc>
      </w:tr>
      <w:tr>
        <w:tc>
          <w:p>
            <w:pPr>
              <w:pStyle w:val="Compact"/>
              <w:jc w:val="left"/>
            </w:pPr>
            <w:r>
              <w:t xml:space="preserve">- South Asian</w:t>
            </w:r>
          </w:p>
        </w:tc>
        <w:tc>
          <w:p>
            <w:pPr>
              <w:pStyle w:val="Compact"/>
              <w:jc w:val="left"/>
            </w:pPr>
            <w:r>
              <w:t xml:space="preserve">45 (7.8%)</w:t>
            </w:r>
          </w:p>
        </w:tc>
        <w:tc>
          <w:p>
            <w:pPr>
              <w:pStyle w:val="Compact"/>
              <w:jc w:val="left"/>
            </w:pPr>
            <w:r>
              <w:t xml:space="preserve">7 (6.2%)</w:t>
            </w:r>
          </w:p>
        </w:tc>
        <w:tc>
          <w:p>
            <w:pStyle w:val="Compact"/>
          </w:p>
        </w:tc>
        <w:tc>
          <w:p>
            <w:pPr>
              <w:pStyle w:val="Compact"/>
              <w:jc w:val="left"/>
            </w:pPr>
            <w:r>
              <w:t xml:space="preserve">5 (9.8%)</w:t>
            </w:r>
          </w:p>
        </w:tc>
      </w:tr>
      <w:tr>
        <w:tc>
          <w:p>
            <w:pPr>
              <w:pStyle w:val="Compact"/>
              <w:jc w:val="left"/>
            </w:pPr>
            <w:r>
              <w:t xml:space="preserve">Sex</w:t>
            </w:r>
          </w:p>
        </w:tc>
        <w:tc>
          <w:p>
            <w:pStyle w:val="Compact"/>
          </w:p>
        </w:tc>
        <w:tc>
          <w:p>
            <w:pStyle w:val="Compact"/>
          </w:p>
        </w:tc>
        <w:tc>
          <w:p>
            <w:pStyle w:val="Compact"/>
          </w:p>
        </w:tc>
        <w:tc>
          <w:p>
            <w:pStyle w:val="Compact"/>
          </w:p>
        </w:tc>
      </w:tr>
      <w:tr>
        <w:tc>
          <w:p>
            <w:pPr>
              <w:pStyle w:val="Compact"/>
              <w:jc w:val="left"/>
            </w:pPr>
            <w:r>
              <w:t xml:space="preserve">- Female</w:t>
            </w:r>
          </w:p>
        </w:tc>
        <w:tc>
          <w:p>
            <w:pPr>
              <w:pStyle w:val="Compact"/>
              <w:jc w:val="left"/>
            </w:pPr>
            <w:r>
              <w:t xml:space="preserve">421 (73.3%)</w:t>
            </w:r>
          </w:p>
        </w:tc>
        <w:tc>
          <w:p>
            <w:pPr>
              <w:pStyle w:val="Compact"/>
              <w:jc w:val="left"/>
            </w:pPr>
            <w:r>
              <w:t xml:space="preserve">31 (27.7%)</w:t>
            </w:r>
          </w:p>
        </w:tc>
        <w:tc>
          <w:p>
            <w:pPr>
              <w:pStyle w:val="Compact"/>
              <w:jc w:val="left"/>
            </w:pPr>
            <w:r>
              <w:t xml:space="preserve">1 (50%)</w:t>
            </w:r>
          </w:p>
        </w:tc>
        <w:tc>
          <w:p>
            <w:pPr>
              <w:pStyle w:val="Compact"/>
              <w:jc w:val="left"/>
            </w:pPr>
            <w:r>
              <w:t xml:space="preserve">50 (98%)</w:t>
            </w:r>
          </w:p>
        </w:tc>
      </w:tr>
      <w:tr>
        <w:tc>
          <w:p>
            <w:pPr>
              <w:pStyle w:val="Compact"/>
              <w:jc w:val="left"/>
            </w:pPr>
            <w:r>
              <w:t xml:space="preserve">- Male</w:t>
            </w:r>
          </w:p>
        </w:tc>
        <w:tc>
          <w:p>
            <w:pPr>
              <w:pStyle w:val="Compact"/>
              <w:jc w:val="left"/>
            </w:pPr>
            <w:r>
              <w:t xml:space="preserve">153 (26.7%)</w:t>
            </w:r>
          </w:p>
        </w:tc>
        <w:tc>
          <w:p>
            <w:pPr>
              <w:pStyle w:val="Compact"/>
              <w:jc w:val="left"/>
            </w:pPr>
            <w:r>
              <w:t xml:space="preserve">81 (72.3%)</w:t>
            </w:r>
          </w:p>
        </w:tc>
        <w:tc>
          <w:p>
            <w:pPr>
              <w:pStyle w:val="Compact"/>
              <w:jc w:val="left"/>
            </w:pPr>
            <w:r>
              <w:t xml:space="preserve">1 (50%)</w:t>
            </w:r>
          </w:p>
        </w:tc>
        <w:tc>
          <w:p>
            <w:pPr>
              <w:pStyle w:val="Compact"/>
              <w:jc w:val="left"/>
            </w:pPr>
            <w:r>
              <w:t xml:space="preserve">1 (2%)</w:t>
            </w:r>
          </w:p>
        </w:tc>
      </w:tr>
      <w:tr>
        <w:tc>
          <w:p>
            <w:pPr>
              <w:pStyle w:val="Compact"/>
              <w:jc w:val="left"/>
            </w:pPr>
            <w:r>
              <w:t xml:space="preserve">BMI</w:t>
            </w:r>
          </w:p>
        </w:tc>
        <w:tc>
          <w:p>
            <w:pPr>
              <w:pStyle w:val="Compact"/>
              <w:jc w:val="left"/>
            </w:pPr>
            <w:r>
              <w:t xml:space="preserve">31.2 (6.3)</w:t>
            </w:r>
          </w:p>
        </w:tc>
        <w:tc>
          <w:p>
            <w:pPr>
              <w:pStyle w:val="Compact"/>
              <w:jc w:val="left"/>
            </w:pPr>
            <w:r>
              <w:t xml:space="preserve">30.3 (5.5)</w:t>
            </w:r>
          </w:p>
        </w:tc>
        <w:tc>
          <w:p>
            <w:pPr>
              <w:pStyle w:val="Compact"/>
              <w:jc w:val="left"/>
            </w:pPr>
            <w:r>
              <w:t xml:space="preserve">29.4 (3.0)</w:t>
            </w:r>
          </w:p>
        </w:tc>
        <w:tc>
          <w:p>
            <w:pPr>
              <w:pStyle w:val="Compact"/>
              <w:jc w:val="left"/>
            </w:pPr>
            <w:r>
              <w:t xml:space="preserve">31.6 (7.2)</w:t>
            </w:r>
          </w:p>
        </w:tc>
      </w:tr>
      <w:tr>
        <w:tc>
          <w:p>
            <w:pPr>
              <w:pStyle w:val="Compact"/>
              <w:jc w:val="left"/>
            </w:pPr>
            <w:r>
              <w:t xml:space="preserve">Waist</w:t>
            </w:r>
          </w:p>
        </w:tc>
        <w:tc>
          <w:p>
            <w:pPr>
              <w:pStyle w:val="Compact"/>
              <w:jc w:val="left"/>
            </w:pPr>
            <w:r>
              <w:t xml:space="preserve">98.6 (15.5)</w:t>
            </w:r>
          </w:p>
        </w:tc>
        <w:tc>
          <w:p>
            <w:pPr>
              <w:pStyle w:val="Compact"/>
              <w:jc w:val="left"/>
            </w:pPr>
            <w:r>
              <w:t xml:space="preserve">102.3 (13.6)</w:t>
            </w:r>
          </w:p>
        </w:tc>
        <w:tc>
          <w:p>
            <w:pPr>
              <w:pStyle w:val="Compact"/>
              <w:jc w:val="left"/>
            </w:pPr>
            <w:r>
              <w:t xml:space="preserve">105.3 (24.4)</w:t>
            </w:r>
          </w:p>
        </w:tc>
        <w:tc>
          <w:p>
            <w:pPr>
              <w:pStyle w:val="Compact"/>
              <w:jc w:val="left"/>
            </w:pPr>
            <w:r>
              <w:t xml:space="preserve">96.5 (17.3)</w:t>
            </w:r>
          </w:p>
        </w:tc>
      </w:tr>
      <w:tr>
        <w:tc>
          <w:p>
            <w:pPr>
              <w:pStyle w:val="Compact"/>
              <w:jc w:val="left"/>
            </w:pPr>
            <w:r>
              <w:t xml:space="preserve">eGFR</w:t>
            </w:r>
          </w:p>
        </w:tc>
        <w:tc>
          <w:p>
            <w:pPr>
              <w:pStyle w:val="Compact"/>
              <w:jc w:val="left"/>
            </w:pPr>
            <w:r>
              <w:t xml:space="preserve">106.9 (8.6)</w:t>
            </w:r>
          </w:p>
        </w:tc>
        <w:tc>
          <w:p>
            <w:pPr>
              <w:pStyle w:val="Compact"/>
              <w:jc w:val="left"/>
            </w:pPr>
            <w:r>
              <w:t xml:space="preserve">82.0 (6.2)</w:t>
            </w:r>
          </w:p>
        </w:tc>
        <w:tc>
          <w:p>
            <w:pPr>
              <w:pStyle w:val="Compact"/>
              <w:jc w:val="left"/>
            </w:pPr>
            <w:r>
              <w:t xml:space="preserve">58.3 (1.7)</w:t>
            </w:r>
          </w:p>
        </w:tc>
        <w:tc>
          <w:p>
            <w:pPr>
              <w:pStyle w:val="Compact"/>
              <w:jc w:val="left"/>
            </w:pPr>
            <w:r>
              <w:t xml:space="preserve">132.5 (7.2)</w:t>
            </w:r>
          </w:p>
        </w:tc>
      </w:tr>
      <w:tr>
        <w:tc>
          <w:p>
            <w:pPr>
              <w:pStyle w:val="Compact"/>
              <w:jc w:val="left"/>
            </w:pPr>
            <w:r>
              <w:t xml:space="preserve">MicroalbCreatRatio</w:t>
            </w:r>
          </w:p>
        </w:tc>
        <w:tc>
          <w:p>
            <w:pPr>
              <w:pStyle w:val="Compact"/>
              <w:jc w:val="left"/>
            </w:pPr>
            <w:r>
              <w:t xml:space="preserve">1.2 (3.6)</w:t>
            </w:r>
          </w:p>
        </w:tc>
        <w:tc>
          <w:p>
            <w:pPr>
              <w:pStyle w:val="Compact"/>
              <w:jc w:val="left"/>
            </w:pPr>
            <w:r>
              <w:t xml:space="preserve">1.0 (2.8)</w:t>
            </w:r>
          </w:p>
        </w:tc>
        <w:tc>
          <w:p>
            <w:pPr>
              <w:pStyle w:val="Compact"/>
              <w:jc w:val="left"/>
            </w:pPr>
            <w:r>
              <w:t xml:space="preserve">50.5 (69.9)</w:t>
            </w:r>
          </w:p>
        </w:tc>
        <w:tc>
          <w:p>
            <w:pPr>
              <w:pStyle w:val="Compact"/>
              <w:jc w:val="left"/>
            </w:pPr>
            <w:r>
              <w:t xml:space="preserve">1.7 (3.6)</w:t>
            </w:r>
          </w:p>
        </w:tc>
      </w:tr>
      <w:tr>
        <w:tc>
          <w:p>
            <w:pPr>
              <w:pStyle w:val="Compact"/>
              <w:jc w:val="left"/>
            </w:pPr>
            <w:r>
              <w:t xml:space="preserve">UrineCreatinine</w:t>
            </w:r>
          </w:p>
        </w:tc>
        <w:tc>
          <w:p>
            <w:pPr>
              <w:pStyle w:val="Compact"/>
              <w:jc w:val="left"/>
            </w:pPr>
            <w:r>
              <w:t xml:space="preserve">11.4 (6.2)</w:t>
            </w:r>
          </w:p>
        </w:tc>
        <w:tc>
          <w:p>
            <w:pPr>
              <w:pStyle w:val="Compact"/>
              <w:jc w:val="left"/>
            </w:pPr>
            <w:r>
              <w:t xml:space="preserve">14.2 (6.5)</w:t>
            </w:r>
          </w:p>
        </w:tc>
        <w:tc>
          <w:p>
            <w:pPr>
              <w:pStyle w:val="Compact"/>
              <w:jc w:val="left"/>
            </w:pPr>
            <w:r>
              <w:t xml:space="preserve">10.3 (1.3)</w:t>
            </w:r>
          </w:p>
        </w:tc>
        <w:tc>
          <w:p>
            <w:pPr>
              <w:pStyle w:val="Compact"/>
              <w:jc w:val="left"/>
            </w:pPr>
            <w:r>
              <w:t xml:space="preserve">10.4 (6.6)</w:t>
            </w:r>
          </w:p>
        </w:tc>
      </w:tr>
      <w:tr>
        <w:tc>
          <w:p>
            <w:pPr>
              <w:pStyle w:val="Compact"/>
              <w:jc w:val="left"/>
            </w:pPr>
            <w:r>
              <w:t xml:space="preserve">UrineMicroalbumin</w:t>
            </w:r>
          </w:p>
        </w:tc>
        <w:tc>
          <w:p>
            <w:pPr>
              <w:pStyle w:val="Compact"/>
              <w:jc w:val="left"/>
            </w:pPr>
            <w:r>
              <w:t xml:space="preserve">10.2 (17.9)</w:t>
            </w:r>
          </w:p>
        </w:tc>
        <w:tc>
          <w:p>
            <w:pPr>
              <w:pStyle w:val="Compact"/>
              <w:jc w:val="left"/>
            </w:pPr>
            <w:r>
              <w:t xml:space="preserve">10.0 (10.8)</w:t>
            </w:r>
          </w:p>
        </w:tc>
        <w:tc>
          <w:p>
            <w:pPr>
              <w:pStyle w:val="Compact"/>
              <w:jc w:val="left"/>
            </w:pPr>
            <w:r>
              <w:t xml:space="preserve">870.0 (1216.2)</w:t>
            </w:r>
          </w:p>
        </w:tc>
        <w:tc>
          <w:p>
            <w:pPr>
              <w:pStyle w:val="Compact"/>
              <w:jc w:val="left"/>
            </w:pPr>
            <w:r>
              <w:t xml:space="preserve">11.0 (12.7)</w:t>
            </w:r>
          </w:p>
        </w:tc>
      </w:tr>
      <w:tr>
        <w:tc>
          <w:p>
            <w:pPr>
              <w:pStyle w:val="Compact"/>
              <w:jc w:val="left"/>
            </w:pPr>
            <w:r>
              <w:t xml:space="preserve">Creatinine</w:t>
            </w:r>
          </w:p>
        </w:tc>
        <w:tc>
          <w:p>
            <w:pPr>
              <w:pStyle w:val="Compact"/>
              <w:jc w:val="left"/>
            </w:pPr>
            <w:r>
              <w:t xml:space="preserve">67.8 (9.5)</w:t>
            </w:r>
          </w:p>
        </w:tc>
        <w:tc>
          <w:p>
            <w:pPr>
              <w:pStyle w:val="Compact"/>
              <w:jc w:val="left"/>
            </w:pPr>
            <w:r>
              <w:t xml:space="preserve">90.3 (7.5)</w:t>
            </w:r>
          </w:p>
        </w:tc>
        <w:tc>
          <w:p>
            <w:pPr>
              <w:pStyle w:val="Compact"/>
              <w:jc w:val="left"/>
            </w:pPr>
            <w:r>
              <w:t xml:space="preserve">112.5 (10.6)</w:t>
            </w:r>
          </w:p>
        </w:tc>
        <w:tc>
          <w:p>
            <w:pPr>
              <w:pStyle w:val="Compact"/>
              <w:jc w:val="left"/>
            </w:pPr>
            <w:r>
              <w:t xml:space="preserve">51.1 (8.5)</w:t>
            </w:r>
          </w:p>
        </w:tc>
      </w:tr>
      <w:tr>
        <w:tc>
          <w:p>
            <w:pPr>
              <w:pStyle w:val="Compact"/>
              <w:jc w:val="left"/>
            </w:pPr>
            <w:r>
              <w:t xml:space="preserve">VitaminD</w:t>
            </w:r>
          </w:p>
        </w:tc>
        <w:tc>
          <w:p>
            <w:pPr>
              <w:pStyle w:val="Compact"/>
              <w:jc w:val="left"/>
            </w:pPr>
            <w:r>
              <w:t xml:space="preserve">54.7 (23.1)</w:t>
            </w:r>
          </w:p>
        </w:tc>
        <w:tc>
          <w:p>
            <w:pPr>
              <w:pStyle w:val="Compact"/>
              <w:jc w:val="left"/>
            </w:pPr>
            <w:r>
              <w:t xml:space="preserve">63.6 (19.4)</w:t>
            </w:r>
          </w:p>
        </w:tc>
        <w:tc>
          <w:p>
            <w:pPr>
              <w:pStyle w:val="Compact"/>
              <w:jc w:val="left"/>
            </w:pPr>
            <w:r>
              <w:t xml:space="preserve">41.8 (45.0)</w:t>
            </w:r>
          </w:p>
        </w:tc>
        <w:tc>
          <w:p>
            <w:pPr>
              <w:pStyle w:val="Compact"/>
              <w:jc w:val="left"/>
            </w:pPr>
            <w:r>
              <w:t xml:space="preserve">46.6 (24.1)</w:t>
            </w:r>
          </w:p>
        </w:tc>
      </w:tr>
      <w:tr>
        <w:tc>
          <w:p>
            <w:pPr>
              <w:pStyle w:val="Compact"/>
              <w:jc w:val="left"/>
            </w:pPr>
            <w:r>
              <w:t xml:space="preserve">Diastolic</w:t>
            </w:r>
          </w:p>
        </w:tc>
        <w:tc>
          <w:p>
            <w:pPr>
              <w:pStyle w:val="Compact"/>
              <w:jc w:val="left"/>
            </w:pPr>
            <w:r>
              <w:t xml:space="preserve">80.2 (10.2)</w:t>
            </w:r>
          </w:p>
        </w:tc>
        <w:tc>
          <w:p>
            <w:pPr>
              <w:pStyle w:val="Compact"/>
              <w:jc w:val="left"/>
            </w:pPr>
            <w:r>
              <w:t xml:space="preserve">80.9 (9.6)</w:t>
            </w:r>
          </w:p>
        </w:tc>
        <w:tc>
          <w:p>
            <w:pPr>
              <w:pStyle w:val="Compact"/>
              <w:jc w:val="left"/>
            </w:pPr>
            <w:r>
              <w:t xml:space="preserve">66.5 (4.2)</w:t>
            </w:r>
          </w:p>
        </w:tc>
        <w:tc>
          <w:p>
            <w:pPr>
              <w:pStyle w:val="Compact"/>
              <w:jc w:val="left"/>
            </w:pPr>
            <w:r>
              <w:t xml:space="preserve">77.1 (12.5)</w:t>
            </w:r>
          </w:p>
        </w:tc>
      </w:tr>
      <w:tr>
        <w:tc>
          <w:p>
            <w:pPr>
              <w:pStyle w:val="Compact"/>
              <w:jc w:val="left"/>
            </w:pPr>
            <w:r>
              <w:t xml:space="preserve">MeanArtPressure</w:t>
            </w:r>
          </w:p>
        </w:tc>
        <w:tc>
          <w:p>
            <w:pPr>
              <w:pStyle w:val="Compact"/>
              <w:jc w:val="left"/>
            </w:pPr>
            <w:r>
              <w:t xml:space="preserve">95.5 (11.3)</w:t>
            </w:r>
          </w:p>
        </w:tc>
        <w:tc>
          <w:p>
            <w:pPr>
              <w:pStyle w:val="Compact"/>
              <w:jc w:val="left"/>
            </w:pPr>
            <w:r>
              <w:t xml:space="preserve">97.4 (10.4)</w:t>
            </w:r>
          </w:p>
        </w:tc>
        <w:tc>
          <w:p>
            <w:pPr>
              <w:pStyle w:val="Compact"/>
              <w:jc w:val="left"/>
            </w:pPr>
            <w:r>
              <w:t xml:space="preserve">88.2 (0.4)</w:t>
            </w:r>
          </w:p>
        </w:tc>
        <w:tc>
          <w:p>
            <w:pPr>
              <w:pStyle w:val="Compact"/>
              <w:jc w:val="left"/>
            </w:pPr>
            <w:r>
              <w:t xml:space="preserve">91.0 (13.6)</w:t>
            </w:r>
          </w:p>
        </w:tc>
      </w:tr>
      <w:tr>
        <w:tc>
          <w:p>
            <w:pPr>
              <w:pStyle w:val="Compact"/>
              <w:jc w:val="left"/>
            </w:pPr>
            <w:r>
              <w:t xml:space="preserve">Systolic</w:t>
            </w:r>
          </w:p>
        </w:tc>
        <w:tc>
          <w:p>
            <w:pPr>
              <w:pStyle w:val="Compact"/>
              <w:jc w:val="left"/>
            </w:pPr>
            <w:r>
              <w:t xml:space="preserve">125.9 (15.9)</w:t>
            </w:r>
          </w:p>
        </w:tc>
        <w:tc>
          <w:p>
            <w:pPr>
              <w:pStyle w:val="Compact"/>
              <w:jc w:val="left"/>
            </w:pPr>
            <w:r>
              <w:t xml:space="preserve">130.4 (14.2)</w:t>
            </w:r>
          </w:p>
        </w:tc>
        <w:tc>
          <w:p>
            <w:pPr>
              <w:pStyle w:val="Compact"/>
              <w:jc w:val="left"/>
            </w:pPr>
            <w:r>
              <w:t xml:space="preserve">131.8 (9.5)</w:t>
            </w:r>
          </w:p>
        </w:tc>
        <w:tc>
          <w:p>
            <w:pPr>
              <w:pStyle w:val="Compact"/>
              <w:jc w:val="left"/>
            </w:pPr>
            <w:r>
              <w:t xml:space="preserve">118.6 (17.4)</w:t>
            </w:r>
          </w:p>
        </w:tc>
      </w:tr>
      <w:tr>
        <w:tc>
          <w:p>
            <w:pPr>
              <w:pStyle w:val="Compact"/>
              <w:jc w:val="left"/>
            </w:pPr>
            <w:r>
              <w:t xml:space="preserve">PTH</w:t>
            </w:r>
          </w:p>
        </w:tc>
        <w:tc>
          <w:p>
            <w:pPr>
              <w:pStyle w:val="Compact"/>
              <w:jc w:val="left"/>
            </w:pPr>
            <w:r>
              <w:t xml:space="preserve">4.6 (1.7)</w:t>
            </w:r>
          </w:p>
        </w:tc>
        <w:tc>
          <w:p>
            <w:pPr>
              <w:pStyle w:val="Compact"/>
              <w:jc w:val="left"/>
            </w:pPr>
            <w:r>
              <w:t xml:space="preserve">4.6 (1.5)</w:t>
            </w:r>
          </w:p>
        </w:tc>
        <w:tc>
          <w:p>
            <w:pPr>
              <w:pStyle w:val="Compact"/>
              <w:jc w:val="left"/>
            </w:pPr>
            <w:r>
              <w:t xml:space="preserve">8.7 (4.6)</w:t>
            </w:r>
          </w:p>
        </w:tc>
        <w:tc>
          <w:p>
            <w:pPr>
              <w:pStyle w:val="Compact"/>
              <w:jc w:val="left"/>
            </w:pPr>
            <w:r>
              <w:t xml:space="preserve">4.6 (1.8)</w:t>
            </w:r>
          </w:p>
        </w:tc>
      </w:tr>
      <w:tr>
        <w:tc>
          <w:p>
            <w:pPr>
              <w:pStyle w:val="Compact"/>
              <w:jc w:val="left"/>
            </w:pPr>
            <w:r>
              <w:t xml:space="preserve">ALT</w:t>
            </w:r>
          </w:p>
        </w:tc>
        <w:tc>
          <w:p>
            <w:pPr>
              <w:pStyle w:val="Compact"/>
              <w:jc w:val="left"/>
            </w:pPr>
            <w:r>
              <w:t xml:space="preserve">31.3 (16.6)</w:t>
            </w:r>
          </w:p>
        </w:tc>
        <w:tc>
          <w:p>
            <w:pPr>
              <w:pStyle w:val="Compact"/>
              <w:jc w:val="left"/>
            </w:pPr>
            <w:r>
              <w:t xml:space="preserve">37.3 (20.5)</w:t>
            </w:r>
          </w:p>
        </w:tc>
        <w:tc>
          <w:p>
            <w:pPr>
              <w:pStyle w:val="Compact"/>
              <w:jc w:val="left"/>
            </w:pPr>
            <w:r>
              <w:t xml:space="preserve">33.0 (17.0)</w:t>
            </w:r>
          </w:p>
        </w:tc>
        <w:tc>
          <w:p>
            <w:pPr>
              <w:pStyle w:val="Compact"/>
              <w:jc w:val="left"/>
            </w:pPr>
            <w:r>
              <w:t xml:space="preserve">27.3 (15.5)</w:t>
            </w:r>
          </w:p>
        </w:tc>
      </w:tr>
      <w:tr>
        <w:tc>
          <w:p>
            <w:pPr>
              <w:pStyle w:val="Compact"/>
              <w:jc w:val="left"/>
            </w:pPr>
            <w:r>
              <w:t xml:space="preserve">Glucose0</w:t>
            </w:r>
          </w:p>
        </w:tc>
        <w:tc>
          <w:p>
            <w:pPr>
              <w:pStyle w:val="Compact"/>
              <w:jc w:val="left"/>
            </w:pPr>
            <w:r>
              <w:t xml:space="preserve">5.1 (0.9)</w:t>
            </w:r>
          </w:p>
        </w:tc>
        <w:tc>
          <w:p>
            <w:pPr>
              <w:pStyle w:val="Compact"/>
              <w:jc w:val="left"/>
            </w:pPr>
            <w:r>
              <w:t xml:space="preserve">5.3 (1.1)</w:t>
            </w:r>
          </w:p>
        </w:tc>
        <w:tc>
          <w:p>
            <w:pPr>
              <w:pStyle w:val="Compact"/>
              <w:jc w:val="left"/>
            </w:pPr>
            <w:r>
              <w:t xml:space="preserve">4.7 (1.6)</w:t>
            </w:r>
          </w:p>
        </w:tc>
        <w:tc>
          <w:p>
            <w:pPr>
              <w:pStyle w:val="Compact"/>
              <w:jc w:val="left"/>
            </w:pPr>
            <w:r>
              <w:t xml:space="preserve">5.0 (0.8)</w:t>
            </w:r>
          </w:p>
        </w:tc>
      </w:tr>
      <w:tr>
        <w:tc>
          <w:p>
            <w:pPr>
              <w:pStyle w:val="Compact"/>
              <w:jc w:val="left"/>
            </w:pPr>
            <w:r>
              <w:t xml:space="preserve">Glucose120</w:t>
            </w:r>
          </w:p>
        </w:tc>
        <w:tc>
          <w:p>
            <w:pPr>
              <w:pStyle w:val="Compact"/>
              <w:jc w:val="left"/>
            </w:pPr>
            <w:r>
              <w:t xml:space="preserve">6.6 (2.9)</w:t>
            </w:r>
          </w:p>
        </w:tc>
        <w:tc>
          <w:p>
            <w:pPr>
              <w:pStyle w:val="Compact"/>
              <w:jc w:val="left"/>
            </w:pPr>
            <w:r>
              <w:t xml:space="preserve">6.6 (3.1)</w:t>
            </w:r>
          </w:p>
        </w:tc>
        <w:tc>
          <w:p>
            <w:pPr>
              <w:pStyle w:val="Compact"/>
              <w:jc w:val="left"/>
            </w:pPr>
            <w:r>
              <w:t xml:space="preserve">5.5 (1.4)</w:t>
            </w:r>
          </w:p>
        </w:tc>
        <w:tc>
          <w:p>
            <w:pPr>
              <w:pStyle w:val="Compact"/>
              <w:jc w:val="left"/>
            </w:pPr>
            <w:r>
              <w:t xml:space="preserve">6.4 (2.7)</w:t>
            </w:r>
          </w:p>
        </w:tc>
      </w:tr>
      <w:tr>
        <w:tc>
          <w:p>
            <w:pPr>
              <w:pStyle w:val="Compact"/>
              <w:jc w:val="left"/>
            </w:pPr>
            <w:r>
              <w:t xml:space="preserve">dm_status</w:t>
            </w:r>
          </w:p>
        </w:tc>
        <w:tc>
          <w:p>
            <w:pStyle w:val="Compact"/>
          </w:p>
        </w:tc>
        <w:tc>
          <w:p>
            <w:pStyle w:val="Compact"/>
          </w:p>
        </w:tc>
        <w:tc>
          <w:p>
            <w:pStyle w:val="Compact"/>
          </w:p>
        </w:tc>
        <w:tc>
          <w:p>
            <w:pStyle w:val="Compact"/>
          </w:p>
        </w:tc>
      </w:tr>
      <w:tr>
        <w:tc>
          <w:p>
            <w:pPr>
              <w:pStyle w:val="Compact"/>
              <w:jc w:val="left"/>
            </w:pPr>
            <w:r>
              <w:t xml:space="preserve">- DM</w:t>
            </w:r>
          </w:p>
        </w:tc>
        <w:tc>
          <w:p>
            <w:pPr>
              <w:pStyle w:val="Compact"/>
              <w:jc w:val="left"/>
            </w:pPr>
            <w:r>
              <w:t xml:space="preserve">69 (12%)</w:t>
            </w:r>
          </w:p>
        </w:tc>
        <w:tc>
          <w:p>
            <w:pPr>
              <w:pStyle w:val="Compact"/>
              <w:jc w:val="left"/>
            </w:pPr>
            <w:r>
              <w:t xml:space="preserve">16 (14.3%)</w:t>
            </w:r>
          </w:p>
        </w:tc>
        <w:tc>
          <w:p>
            <w:pStyle w:val="Compact"/>
          </w:p>
        </w:tc>
        <w:tc>
          <w:p>
            <w:pPr>
              <w:pStyle w:val="Compact"/>
              <w:jc w:val="left"/>
            </w:pPr>
            <w:r>
              <w:t xml:space="preserve">5 (9.8%)</w:t>
            </w:r>
          </w:p>
        </w:tc>
      </w:tr>
      <w:tr>
        <w:tc>
          <w:p>
            <w:pPr>
              <w:pStyle w:val="Compact"/>
              <w:jc w:val="left"/>
            </w:pPr>
            <w:r>
              <w:t xml:space="preserve">- NGT</w:t>
            </w:r>
          </w:p>
        </w:tc>
        <w:tc>
          <w:p>
            <w:pPr>
              <w:pStyle w:val="Compact"/>
              <w:jc w:val="left"/>
            </w:pPr>
            <w:r>
              <w:t xml:space="preserve">479 (83.4%)</w:t>
            </w:r>
          </w:p>
        </w:tc>
        <w:tc>
          <w:p>
            <w:pPr>
              <w:pStyle w:val="Compact"/>
              <w:jc w:val="left"/>
            </w:pPr>
            <w:r>
              <w:t xml:space="preserve">86 (76.8%)</w:t>
            </w:r>
          </w:p>
        </w:tc>
        <w:tc>
          <w:p>
            <w:pPr>
              <w:pStyle w:val="Compact"/>
              <w:jc w:val="left"/>
            </w:pPr>
            <w:r>
              <w:t xml:space="preserve">2 (100%)</w:t>
            </w:r>
          </w:p>
        </w:tc>
        <w:tc>
          <w:p>
            <w:pPr>
              <w:pStyle w:val="Compact"/>
              <w:jc w:val="left"/>
            </w:pPr>
            <w:r>
              <w:t xml:space="preserve">44 (86.3%)</w:t>
            </w:r>
          </w:p>
        </w:tc>
      </w:tr>
      <w:tr>
        <w:tc>
          <w:p>
            <w:pPr>
              <w:pStyle w:val="Compact"/>
              <w:jc w:val="left"/>
            </w:pPr>
            <w:r>
              <w:t xml:space="preserve">- Prediabetes</w:t>
            </w:r>
          </w:p>
        </w:tc>
        <w:tc>
          <w:p>
            <w:pPr>
              <w:pStyle w:val="Compact"/>
              <w:jc w:val="left"/>
            </w:pPr>
            <w:r>
              <w:t xml:space="preserve">26 (4.5%)</w:t>
            </w:r>
          </w:p>
        </w:tc>
        <w:tc>
          <w:p>
            <w:pPr>
              <w:pStyle w:val="Compact"/>
              <w:jc w:val="left"/>
            </w:pPr>
            <w:r>
              <w:t xml:space="preserve">10 (8.9%)</w:t>
            </w:r>
          </w:p>
        </w:tc>
        <w:tc>
          <w:p>
            <w:pStyle w:val="Compact"/>
          </w:p>
        </w:tc>
        <w:tc>
          <w:p>
            <w:pPr>
              <w:pStyle w:val="Compact"/>
              <w:jc w:val="left"/>
            </w:pPr>
            <w:r>
              <w:t xml:space="preserve">2 (3.9%)</w:t>
            </w:r>
          </w:p>
        </w:tc>
      </w:tr>
    </w:tbl>
    <w:p>
      <w:pPr>
        <w:pStyle w:val="Heading2"/>
      </w:pPr>
      <w:bookmarkStart w:id="22" w:name="blood-pressure"/>
      <w:bookmarkEnd w:id="22"/>
      <w:r>
        <w:t xml:space="preserve">Blood Pressure</w:t>
      </w:r>
    </w:p>
    <w:p>
      <w:pPr>
        <w:pStyle w:val="Heading3"/>
      </w:pPr>
      <w:bookmarkStart w:id="23" w:name="renal-autoregulation"/>
      <w:bookmarkEnd w:id="23"/>
      <w:r>
        <w:t xml:space="preserve">Renal Autoregulation</w:t>
      </w:r>
    </w:p>
    <w:p>
      <w:pPr>
        <w:pStyle w:val="FirstParagraph"/>
      </w:pPr>
      <w:r>
        <w:drawing>
          <wp:inline>
            <wp:extent cx="4610100" cy="3695700"/>
            <wp:effectExtent b="0" l="0" r="0" t="0"/>
            <wp:docPr descr="" id="1" name="Picture"/>
            <a:graphic>
              <a:graphicData uri="http://schemas.openxmlformats.org/drawingml/2006/picture">
                <pic:pic>
                  <pic:nvPicPr>
                    <pic:cNvPr descr="eGFR_files/figure-docx/unnamed-chunk-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One would think that changes in the systemic blood pressure would cause changes in glomerular capillary pressure and thus, changes in the GFR. In healthy individuals, this does not occur because of renal autoregulation. Renal autoregulation involves feedback mechanisms intrinsic to the kidney that cause either dilation or constriction in the afferent arteriole so as to counteract blood pressure changes and keep a steady GFR. For instance, if the mean arterial pressure increases, renal autoregulation causes the afferent arteriole to constrict, preventing the pressure increase from being transmitted to the glomerular capillaries, and keeping the GFR from increasing. As shown in the graph, renal autoregulation normally operates to keep GFR steady over a wide range of blood pressures. Note, however, that renal autoregulation is disrupted in chronic kidney disease.</w:t>
      </w:r>
    </w:p>
    <w:p>
      <w:pPr>
        <w:pStyle w:val="Figure"/>
      </w:pPr>
      <w:r>
        <w:drawing>
          <wp:inline>
            <wp:extent cx="5308600" cy="3848100"/>
            <wp:effectExtent b="0" l="0" r="0" t="0"/>
            <wp:docPr descr="" id="1" name="Picture"/>
            <a:graphic>
              <a:graphicData uri="http://schemas.openxmlformats.org/drawingml/2006/picture">
                <pic:pic>
                  <pic:nvPicPr>
                    <pic:cNvPr descr="img/renal-autoregulation.png" id="0" name="Picture"/>
                    <pic:cNvPicPr>
                      <a:picLocks noChangeArrowheads="1" noChangeAspect="1"/>
                    </pic:cNvPicPr>
                  </pic:nvPicPr>
                  <pic:blipFill>
                    <a:blip r:embed="rId25"/>
                    <a:stretch>
                      <a:fillRect/>
                    </a:stretch>
                  </pic:blipFill>
                  <pic:spPr bwMode="auto">
                    <a:xfrm>
                      <a:off x="0" y="0"/>
                      <a:ext cx="5308600" cy="3848100"/>
                    </a:xfrm>
                    <a:prstGeom prst="rect">
                      <a:avLst/>
                    </a:prstGeom>
                    <a:noFill/>
                    <a:ln w="9525">
                      <a:noFill/>
                      <a:headEnd/>
                      <a:tailEnd/>
                    </a:ln>
                  </pic:spPr>
                </pic:pic>
              </a:graphicData>
            </a:graphic>
          </wp:inline>
        </w:drawing>
      </w:r>
    </w:p>
    <w:p>
      <w:pPr>
        <w:pStyle w:val="FirstParagraph"/>
      </w:pPr>
      <w:r>
        <w:t xml:space="preserve">If blood pressure drops too low due to excessive fluid loss, then the sympathetic nervous system will override renal autoregulation. Sympathetic nerves innervate the afferent arteriole, causing smooth muscle contraction. The sequence of events is as follows: drop in mean arterial pressure (MAP), which is detected by arterial baroreceptors. This then leads to sympathetic nervous system activation, afferent arteriole constriction, and decreased GFR.</w:t>
      </w:r>
    </w:p>
    <w:sectPr w:rsidR="00733D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85C8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9F1A4A9"/>
    <w:multiLevelType w:val="multilevel"/>
    <w:tmpl w:val="BBCAC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bc54e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83A67"/>
    <w:pPr>
      <w:keepNext/>
      <w:keepLines/>
      <w:spacing w:before="480" w:after="0"/>
      <w:outlineLvl w:val="0"/>
    </w:pPr>
    <w:rPr>
      <w:rFonts w:asciiTheme="majorHAnsi" w:eastAsiaTheme="majorEastAsia" w:hAnsiTheme="majorHAnsi" w:cstheme="majorBidi"/>
      <w:b/>
      <w:bCs/>
      <w:caps/>
      <w:sz w:val="28"/>
      <w:szCs w:val="32"/>
    </w:rPr>
  </w:style>
  <w:style w:type="paragraph" w:styleId="Heading2">
    <w:name w:val="heading 2"/>
    <w:basedOn w:val="Normal"/>
    <w:next w:val="BodyText"/>
    <w:uiPriority w:val="9"/>
    <w:unhideWhenUsed/>
    <w:qFormat/>
    <w:rsid w:val="00483A67"/>
    <w:pPr>
      <w:keepNext/>
      <w:keepLines/>
      <w:spacing w:before="200" w:after="0"/>
      <w:outlineLvl w:val="1"/>
    </w:pPr>
    <w:rPr>
      <w:rFonts w:asciiTheme="majorHAnsi" w:eastAsiaTheme="majorEastAsia" w:hAnsiTheme="majorHAnsi" w:cstheme="majorBidi"/>
      <w:b/>
      <w:bCs/>
      <w:sz w:val="26"/>
      <w:szCs w:val="32"/>
    </w:rPr>
  </w:style>
  <w:style w:type="paragraph" w:styleId="Heading3">
    <w:name w:val="heading 3"/>
    <w:basedOn w:val="Normal"/>
    <w:next w:val="BodyText"/>
    <w:uiPriority w:val="9"/>
    <w:unhideWhenUsed/>
    <w:qFormat/>
    <w:rsid w:val="00483A67"/>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83A67"/>
    <w:pPr>
      <w:keepNext/>
      <w:keepLines/>
      <w:spacing w:before="480" w:after="240"/>
      <w:jc w:val="center"/>
    </w:pPr>
    <w:rPr>
      <w:rFonts w:asciiTheme="majorHAnsi" w:eastAsiaTheme="majorEastAsia" w:hAnsiTheme="majorHAnsi" w:cstheme="majorBidi"/>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83A67"/>
    <w:rPr>
      <w:i/>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83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analysis of estimated glomerular filtration rate using the PROMISE cohort at baseline</dc:title>
  <dc:creator>WINDY WANG</dc:creator>
  <dcterms:created xsi:type="dcterms:W3CDTF">2016-05-12</dcterms:created>
  <dcterms:modified xsi:type="dcterms:W3CDTF">2016-05-12</dcterms:modified>
</cp:coreProperties>
</file>