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CA" w:rsidRDefault="000602CA">
      <w:pPr>
        <w:pStyle w:val="TableCaption"/>
        <w:rPr>
          <w:i w:val="0"/>
        </w:rPr>
      </w:pPr>
      <w:bookmarkStart w:id="0" w:name="introduction"/>
      <w:bookmarkStart w:id="1" w:name="results"/>
      <w:bookmarkEnd w:id="0"/>
      <w:bookmarkEnd w:id="1"/>
      <w:r>
        <w:rPr>
          <w:noProof/>
          <w:lang w:val="en-CA" w:eastAsia="en-CA"/>
        </w:rPr>
        <w:drawing>
          <wp:inline distT="0" distB="0" distL="0" distR="0" wp14:anchorId="03C79454" wp14:editId="1D95D484">
            <wp:extent cx="5943600" cy="3636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CA" w:rsidRDefault="000602CA">
      <w:pPr>
        <w:pStyle w:val="TableCaption"/>
      </w:pPr>
      <w:r>
        <w:t xml:space="preserve">FIGURE 1. Distribution of urinary vitamin D binding protein after excluding hemolysed samples (as noted by Betty Wong). </w:t>
      </w:r>
    </w:p>
    <w:p w:rsidR="000602CA" w:rsidRDefault="000602CA">
      <w:pPr>
        <w:pStyle w:val="TableCaption"/>
        <w:rPr>
          <w:i w:val="0"/>
        </w:rPr>
      </w:pPr>
      <w:r>
        <w:rPr>
          <w:i w:val="0"/>
        </w:rPr>
        <w:t xml:space="preserve">There still appears to be a </w:t>
      </w:r>
      <w:r w:rsidR="00A73C65">
        <w:rPr>
          <w:i w:val="0"/>
        </w:rPr>
        <w:t>two</w:t>
      </w:r>
      <w:r>
        <w:rPr>
          <w:i w:val="0"/>
        </w:rPr>
        <w:t xml:space="preserve"> subjects with very high UDBP concentrations</w:t>
      </w:r>
      <w:r w:rsidR="00A73C65">
        <w:rPr>
          <w:i w:val="0"/>
        </w:rPr>
        <w:t xml:space="preserve"> (&gt;1000 ng/mL)</w:t>
      </w:r>
      <w:r>
        <w:rPr>
          <w:i w:val="0"/>
        </w:rPr>
        <w:t xml:space="preserve">, even </w:t>
      </w:r>
      <w:r w:rsidR="00A73C65">
        <w:rPr>
          <w:i w:val="0"/>
        </w:rPr>
        <w:t>though</w:t>
      </w:r>
      <w:r>
        <w:rPr>
          <w:i w:val="0"/>
        </w:rPr>
        <w:t xml:space="preserve"> their samples were not marked as hemolysed. </w:t>
      </w:r>
      <w:r w:rsidR="00A73C65">
        <w:rPr>
          <w:i w:val="0"/>
        </w:rPr>
        <w:t xml:space="preserve">There were only two subjects with hemolysed samples for baseline measures; the readings were 2867 ng/mL and 128 ng/mL. </w:t>
      </w:r>
    </w:p>
    <w:p w:rsidR="00317896" w:rsidRDefault="00A73C65">
      <w:pPr>
        <w:pStyle w:val="TableCaption"/>
        <w:rPr>
          <w:i w:val="0"/>
        </w:rPr>
      </w:pPr>
      <w:r>
        <w:rPr>
          <w:i w:val="0"/>
        </w:rPr>
        <w:t xml:space="preserve">I also separated the samples marked as “&lt;” (undetectable) and those with a reading below the lower detection limit (low UDBP). The number of subjects are slightly different in </w:t>
      </w:r>
      <w:r>
        <w:t>Table 1</w:t>
      </w:r>
      <w:r>
        <w:rPr>
          <w:i w:val="0"/>
        </w:rPr>
        <w:t xml:space="preserve"> compared to </w:t>
      </w:r>
      <w:r>
        <w:t>Table 2</w:t>
      </w:r>
      <w:r>
        <w:rPr>
          <w:i w:val="0"/>
        </w:rPr>
        <w:t xml:space="preserve"> likely due to the exclusion of hemolysed samples. </w:t>
      </w:r>
      <w:r w:rsidR="00317896">
        <w:rPr>
          <w:i w:val="0"/>
        </w:rPr>
        <w:t xml:space="preserve">I also ran ANOVAs on each variable, but did not include </w:t>
      </w:r>
      <w:r w:rsidR="00317896">
        <w:t>p</w:t>
      </w:r>
      <w:r w:rsidR="00317896">
        <w:rPr>
          <w:i w:val="0"/>
        </w:rPr>
        <w:t xml:space="preserve">-values due to space limitations. The same samples there showed significance in </w:t>
      </w:r>
      <w:r w:rsidR="00317896">
        <w:t>Table 2</w:t>
      </w:r>
      <w:r w:rsidR="00317896">
        <w:rPr>
          <w:i w:val="0"/>
        </w:rPr>
        <w:t xml:space="preserve"> were also significant in </w:t>
      </w:r>
      <w:r w:rsidR="00317896">
        <w:t>Table 1</w:t>
      </w:r>
      <w:r w:rsidR="00317896">
        <w:rPr>
          <w:i w:val="0"/>
        </w:rPr>
        <w:t>. Tukey’s HSD did not reveal significant differences between the “undetectable” and “low” groups for any variable.</w:t>
      </w:r>
    </w:p>
    <w:p w:rsidR="00317896" w:rsidRPr="00317896" w:rsidRDefault="00317896">
      <w:pPr>
        <w:pStyle w:val="TableCaption"/>
        <w:rPr>
          <w:i w:val="0"/>
        </w:rPr>
      </w:pPr>
      <w:r>
        <w:rPr>
          <w:i w:val="0"/>
        </w:rPr>
        <w:t>Table 1 shows subject characteristics after separating “&lt;” from the Low group, while Table 2 is the original subject characterization table (for comparison purposes).</w:t>
      </w:r>
    </w:p>
    <w:p w:rsidR="00317896" w:rsidRDefault="00317896">
      <w:pPr>
        <w:rPr>
          <w:i/>
        </w:rPr>
      </w:pPr>
      <w:r>
        <w:br w:type="page"/>
      </w:r>
    </w:p>
    <w:p w:rsidR="00321D3E" w:rsidRDefault="000602CA">
      <w:pPr>
        <w:pStyle w:val="TableCaption"/>
      </w:pPr>
      <w:bookmarkStart w:id="2" w:name="_GoBack"/>
      <w:bookmarkEnd w:id="2"/>
      <w:r>
        <w:lastRenderedPageBreak/>
        <w:t>TABLE 1.</w:t>
      </w:r>
      <w:r w:rsidR="005E4DA9">
        <w:t xml:space="preserve"> </w:t>
      </w:r>
      <w:r w:rsidR="002E31A5">
        <w:t>Subject characteristics according to urinary VDBP concentration categories</w:t>
      </w:r>
      <w:r w:rsidR="00A86A22">
        <w:t xml:space="preserve"> </w:t>
      </w:r>
      <w:r>
        <w:t>after excluding of hemolysed samples.</w:t>
      </w:r>
    </w:p>
    <w:tbl>
      <w:tblPr>
        <w:tblStyle w:val="PlainTable1"/>
        <w:tblW w:w="5223" w:type="pct"/>
        <w:tblLook w:val="07E0" w:firstRow="1" w:lastRow="1" w:firstColumn="1" w:lastColumn="1" w:noHBand="1" w:noVBand="1"/>
      </w:tblPr>
      <w:tblGrid>
        <w:gridCol w:w="1420"/>
        <w:gridCol w:w="1670"/>
        <w:gridCol w:w="1681"/>
        <w:gridCol w:w="1666"/>
        <w:gridCol w:w="1666"/>
        <w:gridCol w:w="1664"/>
      </w:tblGrid>
      <w:tr w:rsidR="005E4DA9" w:rsidTr="005E4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</w:p>
        </w:tc>
        <w:tc>
          <w:tcPr>
            <w:tcW w:w="854" w:type="pct"/>
          </w:tcPr>
          <w:p w:rsidR="005E4DA9" w:rsidRDefault="00A73C6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Undetectable</w:t>
            </w:r>
            <w:r w:rsidR="005E4DA9">
              <w:t xml:space="preserve"> (&lt;) (n=12)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UDBP (n=57)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UDBP (n=360)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Default="005E4DA9">
            <w:pPr>
              <w:pStyle w:val="Compact"/>
            </w:pPr>
            <w:r>
              <w:t>High UDBP (n=310)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Age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48.7 (11.4)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47.8 (9.2)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50.4 (10.1)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49.6 (10.0)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 w:val="restart"/>
          </w:tcPr>
          <w:p w:rsidR="005E4DA9" w:rsidRDefault="005E4DA9">
            <w:pPr>
              <w:pStyle w:val="Compact"/>
            </w:pPr>
            <w:r>
              <w:t>Ethnicity</w:t>
            </w:r>
          </w:p>
        </w:tc>
        <w:tc>
          <w:tcPr>
            <w:tcW w:w="856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European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(50%)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(56.1%)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 (66.1%)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205 (66.1%)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/>
          </w:tcPr>
          <w:p w:rsidR="005E4DA9" w:rsidRDefault="005E4DA9">
            <w:pPr>
              <w:pStyle w:val="Compact"/>
            </w:pPr>
          </w:p>
        </w:tc>
        <w:tc>
          <w:tcPr>
            <w:tcW w:w="856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Latino/a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(50%)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(17.5%)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(15.3%)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42 (13.5%)</w:t>
            </w:r>
          </w:p>
        </w:tc>
      </w:tr>
      <w:tr w:rsidR="005E4DA9" w:rsidTr="00A86A2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/>
          </w:tcPr>
          <w:p w:rsidR="005E4DA9" w:rsidRDefault="005E4DA9">
            <w:pPr>
              <w:pStyle w:val="Compact"/>
            </w:pPr>
          </w:p>
        </w:tc>
        <w:tc>
          <w:tcPr>
            <w:tcW w:w="856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854" w:type="pct"/>
            <w:vAlign w:val="center"/>
          </w:tcPr>
          <w:p w:rsidR="005E4DA9" w:rsidRDefault="005E4DA9" w:rsidP="00A8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(17.5%)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(9.7%)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43 (13.9%)</w:t>
            </w:r>
          </w:p>
        </w:tc>
      </w:tr>
      <w:tr w:rsidR="005E4DA9" w:rsidTr="00A86A2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/>
          </w:tcPr>
          <w:p w:rsidR="005E4DA9" w:rsidRDefault="005E4DA9">
            <w:pPr>
              <w:pStyle w:val="Compact"/>
            </w:pPr>
          </w:p>
        </w:tc>
        <w:tc>
          <w:tcPr>
            <w:tcW w:w="856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South Asian</w:t>
            </w:r>
          </w:p>
        </w:tc>
        <w:tc>
          <w:tcPr>
            <w:tcW w:w="854" w:type="pct"/>
            <w:vAlign w:val="center"/>
          </w:tcPr>
          <w:p w:rsidR="005E4DA9" w:rsidRDefault="005E4DA9" w:rsidP="00A8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(8.8%)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(8.9%)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20 (6.5%)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 w:val="restart"/>
          </w:tcPr>
          <w:p w:rsidR="005E4DA9" w:rsidRDefault="005E4DA9">
            <w:pPr>
              <w:pStyle w:val="Compact"/>
            </w:pPr>
            <w:r>
              <w:t>Sex</w:t>
            </w:r>
          </w:p>
        </w:tc>
        <w:tc>
          <w:tcPr>
            <w:tcW w:w="856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(58.3%)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(56.1%)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262 (72.8%)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202 (65.2%)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/>
          </w:tcPr>
          <w:p w:rsidR="005E4DA9" w:rsidRDefault="005E4DA9">
            <w:pPr>
              <w:pStyle w:val="Compact"/>
            </w:pPr>
          </w:p>
        </w:tc>
        <w:tc>
          <w:tcPr>
            <w:tcW w:w="856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(41.7%)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(43.9%)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 (27.2%)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108 (34.8%)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BMI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32.9 (10.2)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33.0 (7.0)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 (6.2)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32.0 (5.8)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Waist Circumference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97.5 (22.9)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105.4 (17.5)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96.1 (15.3)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101.2 (14.1)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eGFR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98.9 (13.2)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106.2 (12.5)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105.0 (14.6)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104.4 (14.6)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Microalbumin:Creatinine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 (0.4)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 (0.4)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(2.7)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1.8 (7.1)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Urinary Creatinine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 (3.3)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 (5.6)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 (5.2)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14.9 (6.2)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Urinary Microalbumin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 (5.2)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 (5.1)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 (10.6)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21.2 (99.9)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Creatinine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76.5 (14.5)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71.2 (11.3)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69.3 (13.4)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70.6 (13.7)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Serum 25(OH)D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 (20.7)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48.3 (20.3)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57.9 (23.7)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54.3 (22.5)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Diastolic Blood Pressure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77.1 (10.1)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80.7 (9.7)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78.7 (9.5)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81.7 (11.1)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Mean Arterial Pressure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92.0 (10.7)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95.7 (10.5)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94.0 (10.9)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97.2 (11.9)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Systolic Blood Pressure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121.7 (13.2)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125.7 (13.9)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124.6 (16.2)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128.1 (16.0)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Parathyroid Hormone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 (1.8)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 (1.8)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 (1.5)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4.9 (1.8)</w:t>
            </w:r>
          </w:p>
        </w:tc>
      </w:tr>
      <w:tr w:rsidR="00A86A22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A86A22" w:rsidRDefault="00A86A22">
            <w:pPr>
              <w:pStyle w:val="Compact"/>
            </w:pPr>
            <w:r w:rsidRPr="00317896">
              <w:rPr>
                <w:highlight w:val="yellow"/>
              </w:rPr>
              <w:t>Alanine Amino Transferase</w:t>
            </w:r>
          </w:p>
        </w:tc>
        <w:tc>
          <w:tcPr>
            <w:tcW w:w="854" w:type="pct"/>
          </w:tcPr>
          <w:p w:rsidR="00A86A22" w:rsidRDefault="00A86A2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38.3 (13.5)</w:t>
            </w:r>
          </w:p>
        </w:tc>
        <w:tc>
          <w:tcPr>
            <w:tcW w:w="854" w:type="pct"/>
          </w:tcPr>
          <w:p w:rsidR="00A86A22" w:rsidRDefault="00A86A2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36.5 (25.4)</w:t>
            </w:r>
          </w:p>
        </w:tc>
        <w:tc>
          <w:tcPr>
            <w:tcW w:w="854" w:type="pct"/>
          </w:tcPr>
          <w:p w:rsidR="00A86A22" w:rsidRDefault="00A86A2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 (14.3)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A86A22" w:rsidRPr="005E4DA9" w:rsidRDefault="00A86A22">
            <w:pPr>
              <w:pStyle w:val="Compact"/>
              <w:rPr>
                <w:b w:val="0"/>
              </w:rPr>
            </w:pPr>
            <w:r>
              <w:rPr>
                <w:b w:val="0"/>
              </w:rPr>
              <w:t>33.7 (18.4)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 w:rsidP="005E4DA9">
            <w:pPr>
              <w:pStyle w:val="Compact"/>
            </w:pPr>
            <w:r>
              <w:t>Fasting Glucose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 (0.5)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 (1.1)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 (0.9)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5.1 (0.9)</w:t>
            </w:r>
          </w:p>
        </w:tc>
      </w:tr>
      <w:tr w:rsidR="005E4DA9" w:rsidTr="005E4DA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5E4DA9" w:rsidRDefault="005E4DA9">
            <w:pPr>
              <w:pStyle w:val="Compact"/>
            </w:pPr>
            <w:r>
              <w:t>2h-post OGTT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 (1.6)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 (3.9)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 (2.5)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6.7 (3.2)</w:t>
            </w:r>
          </w:p>
        </w:tc>
      </w:tr>
      <w:tr w:rsidR="005E4DA9" w:rsidTr="00A86A2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 w:val="restart"/>
          </w:tcPr>
          <w:p w:rsidR="005E4DA9" w:rsidRDefault="005E4DA9">
            <w:pPr>
              <w:pStyle w:val="Compact"/>
            </w:pPr>
            <w:r>
              <w:t>Diabetic Status</w:t>
            </w:r>
          </w:p>
        </w:tc>
        <w:tc>
          <w:tcPr>
            <w:tcW w:w="856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</w:t>
            </w:r>
          </w:p>
        </w:tc>
        <w:tc>
          <w:tcPr>
            <w:tcW w:w="854" w:type="pct"/>
            <w:vAlign w:val="center"/>
          </w:tcPr>
          <w:p w:rsidR="005E4DA9" w:rsidRDefault="005E4DA9" w:rsidP="00A86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(22.8%)</w:t>
            </w:r>
          </w:p>
        </w:tc>
        <w:tc>
          <w:tcPr>
            <w:tcW w:w="854" w:type="pct"/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(8.9%)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45 (14.5%)</w:t>
            </w:r>
          </w:p>
        </w:tc>
      </w:tr>
      <w:tr w:rsidR="005E4DA9" w:rsidTr="005E4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/>
          </w:tcPr>
          <w:p w:rsidR="005E4DA9" w:rsidRDefault="005E4DA9">
            <w:pPr>
              <w:pStyle w:val="Compact"/>
            </w:pPr>
          </w:p>
        </w:tc>
        <w:tc>
          <w:tcPr>
            <w:tcW w:w="856" w:type="pct"/>
            <w:tcBorders>
              <w:bottom w:val="single" w:sz="4" w:space="0" w:color="BFBFBF" w:themeColor="background1" w:themeShade="BF"/>
            </w:tcBorders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NGT</w:t>
            </w:r>
          </w:p>
        </w:tc>
        <w:tc>
          <w:tcPr>
            <w:tcW w:w="854" w:type="pct"/>
            <w:tcBorders>
              <w:bottom w:val="single" w:sz="4" w:space="0" w:color="BFBFBF" w:themeColor="background1" w:themeShade="BF"/>
            </w:tcBorders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(91.7%)</w:t>
            </w:r>
          </w:p>
        </w:tc>
        <w:tc>
          <w:tcPr>
            <w:tcW w:w="854" w:type="pct"/>
            <w:tcBorders>
              <w:bottom w:val="single" w:sz="4" w:space="0" w:color="BFBFBF" w:themeColor="background1" w:themeShade="BF"/>
            </w:tcBorders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 (75.4%)</w:t>
            </w:r>
          </w:p>
        </w:tc>
        <w:tc>
          <w:tcPr>
            <w:tcW w:w="854" w:type="pct"/>
            <w:tcBorders>
              <w:bottom w:val="single" w:sz="4" w:space="0" w:color="BFBFBF" w:themeColor="background1" w:themeShade="BF"/>
            </w:tcBorders>
          </w:tcPr>
          <w:p w:rsidR="005E4DA9" w:rsidRDefault="005E4DA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 (85.8%)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  <w:tcBorders>
              <w:bottom w:val="single" w:sz="4" w:space="0" w:color="BFBFBF" w:themeColor="background1" w:themeShade="BF"/>
            </w:tcBorders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248 (80%)</w:t>
            </w:r>
          </w:p>
        </w:tc>
      </w:tr>
      <w:tr w:rsidR="005E4DA9" w:rsidTr="005E4D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pct"/>
            <w:vMerge/>
          </w:tcPr>
          <w:p w:rsidR="005E4DA9" w:rsidRDefault="005E4DA9">
            <w:pPr>
              <w:pStyle w:val="Compact"/>
            </w:pPr>
          </w:p>
        </w:tc>
        <w:tc>
          <w:tcPr>
            <w:tcW w:w="856" w:type="pct"/>
            <w:tcBorders>
              <w:top w:val="single" w:sz="4" w:space="0" w:color="BFBFBF" w:themeColor="background1" w:themeShade="BF"/>
            </w:tcBorders>
          </w:tcPr>
          <w:p w:rsidR="005E4DA9" w:rsidRPr="005E4DA9" w:rsidRDefault="005E4DA9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4DA9">
              <w:rPr>
                <w:b w:val="0"/>
              </w:rPr>
              <w:t>Prediabetes</w:t>
            </w:r>
          </w:p>
        </w:tc>
        <w:tc>
          <w:tcPr>
            <w:tcW w:w="854" w:type="pct"/>
            <w:tcBorders>
              <w:top w:val="single" w:sz="4" w:space="0" w:color="BFBFBF" w:themeColor="background1" w:themeShade="BF"/>
            </w:tcBorders>
          </w:tcPr>
          <w:p w:rsidR="005E4DA9" w:rsidRPr="005E4DA9" w:rsidRDefault="005E4DA9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4DA9">
              <w:rPr>
                <w:b w:val="0"/>
              </w:rPr>
              <w:t>1 (8.3%)</w:t>
            </w:r>
          </w:p>
        </w:tc>
        <w:tc>
          <w:tcPr>
            <w:tcW w:w="854" w:type="pct"/>
            <w:tcBorders>
              <w:top w:val="single" w:sz="4" w:space="0" w:color="BFBFBF" w:themeColor="background1" w:themeShade="BF"/>
            </w:tcBorders>
          </w:tcPr>
          <w:p w:rsidR="005E4DA9" w:rsidRPr="005E4DA9" w:rsidRDefault="005E4DA9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4DA9">
              <w:rPr>
                <w:b w:val="0"/>
              </w:rPr>
              <w:t>1 (1.8%)</w:t>
            </w:r>
          </w:p>
        </w:tc>
        <w:tc>
          <w:tcPr>
            <w:tcW w:w="854" w:type="pct"/>
            <w:tcBorders>
              <w:top w:val="single" w:sz="4" w:space="0" w:color="BFBFBF" w:themeColor="background1" w:themeShade="BF"/>
            </w:tcBorders>
          </w:tcPr>
          <w:p w:rsidR="005E4DA9" w:rsidRPr="005E4DA9" w:rsidRDefault="005E4DA9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4DA9">
              <w:rPr>
                <w:b w:val="0"/>
              </w:rPr>
              <w:t>19 (5.3%)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3" w:type="pct"/>
            <w:tcBorders>
              <w:top w:val="single" w:sz="4" w:space="0" w:color="BFBFBF" w:themeColor="background1" w:themeShade="BF"/>
            </w:tcBorders>
          </w:tcPr>
          <w:p w:rsidR="005E4DA9" w:rsidRPr="005E4DA9" w:rsidRDefault="005E4DA9">
            <w:pPr>
              <w:pStyle w:val="Compact"/>
              <w:rPr>
                <w:b w:val="0"/>
              </w:rPr>
            </w:pPr>
            <w:r w:rsidRPr="005E4DA9">
              <w:rPr>
                <w:b w:val="0"/>
              </w:rPr>
              <w:t>17 (5.5%)</w:t>
            </w:r>
          </w:p>
        </w:tc>
      </w:tr>
    </w:tbl>
    <w:p w:rsidR="005E4DA9" w:rsidRPr="000602CA" w:rsidRDefault="005E4DA9" w:rsidP="005E4DA9">
      <w:pPr>
        <w:rPr>
          <w:rFonts w:asciiTheme="majorHAnsi" w:hAnsiTheme="majorHAnsi" w:cs="Times New Roman"/>
          <w:i/>
          <w:vanish/>
          <w:sz w:val="20"/>
        </w:rPr>
      </w:pPr>
      <w:r w:rsidRPr="005E4DA9">
        <w:rPr>
          <w:rFonts w:asciiTheme="majorHAnsi" w:hAnsiTheme="majorHAnsi" w:cs="Times New Roman"/>
          <w:i/>
          <w:sz w:val="20"/>
        </w:rPr>
        <w:t xml:space="preserve">Values are </w:t>
      </w:r>
      <w:r>
        <w:rPr>
          <w:rFonts w:asciiTheme="majorHAnsi" w:hAnsiTheme="majorHAnsi" w:cs="Times New Roman"/>
          <w:i/>
          <w:sz w:val="20"/>
        </w:rPr>
        <w:t>reported as mean (</w:t>
      </w:r>
      <w:r w:rsidRPr="005E4DA9">
        <w:rPr>
          <w:rFonts w:asciiTheme="majorHAnsi" w:hAnsiTheme="majorHAnsi" w:cs="Times New Roman"/>
          <w:i/>
          <w:sz w:val="20"/>
        </w:rPr>
        <w:t>standard deviation</w:t>
      </w:r>
      <w:r>
        <w:rPr>
          <w:rFonts w:asciiTheme="majorHAnsi" w:hAnsiTheme="majorHAnsi" w:cs="Times New Roman"/>
          <w:i/>
          <w:sz w:val="20"/>
        </w:rPr>
        <w:t>) for continuous variables, and n (percentage) for discrete variables.</w:t>
      </w:r>
      <w:r w:rsidR="000602CA">
        <w:rPr>
          <w:rFonts w:asciiTheme="majorHAnsi" w:hAnsiTheme="majorHAnsi" w:cs="Times New Roman"/>
          <w:i/>
          <w:sz w:val="20"/>
        </w:rPr>
        <w:t xml:space="preserve"> No significant differences were found between the “Missing” and “Low” groups, but this may be due to the low n in the “Missing” group.</w:t>
      </w:r>
      <w:r w:rsidR="000602CA">
        <w:rPr>
          <w:rFonts w:asciiTheme="majorHAnsi" w:hAnsiTheme="majorHAnsi" w:cs="Times New Roman"/>
          <w:i/>
          <w:vanish/>
          <w:sz w:val="20"/>
        </w:rPr>
        <w:t>eHasdfasdf</w:t>
      </w:r>
    </w:p>
    <w:p w:rsidR="00A86A22" w:rsidRDefault="00A86A22" w:rsidP="005E4DA9">
      <w:pPr>
        <w:rPr>
          <w:rFonts w:asciiTheme="majorHAnsi" w:hAnsiTheme="majorHAnsi" w:cs="Times New Roman"/>
          <w:i/>
          <w:sz w:val="20"/>
        </w:rPr>
      </w:pPr>
    </w:p>
    <w:p w:rsidR="00A86A22" w:rsidRDefault="00317896">
      <w:pPr>
        <w:rPr>
          <w:i/>
        </w:rPr>
      </w:pPr>
      <w:r>
        <w:t>I added in ALT to examine liver function. There is a significant difference found (</w:t>
      </w:r>
      <w:r>
        <w:rPr>
          <w:i/>
        </w:rPr>
        <w:t>p</w:t>
      </w:r>
      <w:r>
        <w:t xml:space="preserve"> = 0.005), and the difference is between Low-Normal (</w:t>
      </w:r>
      <w:r>
        <w:rPr>
          <w:i/>
        </w:rPr>
        <w:t xml:space="preserve">p </w:t>
      </w:r>
      <w:r>
        <w:t>= 0.018) and Normal-High (</w:t>
      </w:r>
      <w:r>
        <w:rPr>
          <w:i/>
        </w:rPr>
        <w:t>p</w:t>
      </w:r>
      <w:r>
        <w:t xml:space="preserve"> = 0.048).</w:t>
      </w:r>
      <w:r w:rsidR="00A86A22">
        <w:rPr>
          <w:i/>
        </w:rPr>
        <w:br w:type="page"/>
      </w:r>
    </w:p>
    <w:p w:rsidR="00A86A22" w:rsidRPr="00A86A22" w:rsidRDefault="00A86A22" w:rsidP="00A86A22">
      <w:pPr>
        <w:rPr>
          <w:i/>
        </w:rPr>
      </w:pPr>
      <w:r w:rsidRPr="00A86A22">
        <w:rPr>
          <w:i/>
        </w:rPr>
        <w:lastRenderedPageBreak/>
        <w:t>TABLE 2</w:t>
      </w:r>
      <w:r w:rsidRPr="00A86A22">
        <w:rPr>
          <w:i/>
        </w:rPr>
        <w:t>. Subject characteristics according to urinary VDBP concentration categories</w:t>
      </w:r>
      <w:r w:rsidR="00317896">
        <w:rPr>
          <w:i/>
        </w:rP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513"/>
        <w:gridCol w:w="1513"/>
        <w:gridCol w:w="1513"/>
        <w:gridCol w:w="988"/>
      </w:tblGrid>
      <w:tr w:rsidR="00A86A22" w:rsidRPr="00A86A22" w:rsidTr="00A86A22">
        <w:tc>
          <w:tcPr>
            <w:tcW w:w="38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`</w:t>
            </w:r>
          </w:p>
        </w:tc>
        <w:tc>
          <w:tcPr>
            <w:tcW w:w="4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Urinary VDBP categories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i/>
                <w:sz w:val="24"/>
                <w:szCs w:val="24"/>
              </w:rPr>
              <w:t>p</w:t>
            </w:r>
            <w:r w:rsidRPr="00A86A22">
              <w:rPr>
                <w:rFonts w:cs="Times New Roman"/>
                <w:sz w:val="24"/>
                <w:szCs w:val="24"/>
              </w:rPr>
              <w:t>-value</w:t>
            </w:r>
          </w:p>
        </w:tc>
      </w:tr>
      <w:tr w:rsidR="00A86A22" w:rsidRPr="00A86A22" w:rsidTr="00A86A22">
        <w:tc>
          <w:tcPr>
            <w:tcW w:w="59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Group 1</w:t>
            </w:r>
          </w:p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&lt; 1.23 ng/mL</w:t>
            </w:r>
          </w:p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(n = 88)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Group 2</w:t>
            </w:r>
          </w:p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1.23 – 60 ng/mL</w:t>
            </w:r>
          </w:p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(n = 484)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Group 3</w:t>
            </w:r>
          </w:p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&gt; 60 ng/mL</w:t>
            </w:r>
          </w:p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(n = 390)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Age (years)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47.9 ± 9.5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50.4 ± 10.1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49.5 ± 10.0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A86A22" w:rsidRPr="00A86A22" w:rsidTr="000602CA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Sex (%)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Female (n = 513)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57.1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72.7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65.5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0.03</w:t>
            </w:r>
          </w:p>
        </w:tc>
      </w:tr>
      <w:tr w:rsidR="00A86A22" w:rsidRPr="00A86A22" w:rsidTr="000602CA">
        <w:tc>
          <w:tcPr>
            <w:tcW w:w="3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Male (n = 237)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42.8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27.3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34.5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86A22" w:rsidRPr="00A86A22" w:rsidTr="000602CA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Ethnicity (%)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European (n=486)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54.3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66.5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65.8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0.09</w:t>
            </w:r>
          </w:p>
        </w:tc>
      </w:tr>
      <w:tr w:rsidR="00A86A22" w:rsidRPr="00A86A22" w:rsidTr="000602CA">
        <w:tc>
          <w:tcPr>
            <w:tcW w:w="3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Latino (n=115)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24.3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15.3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13.7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86A22" w:rsidRPr="00A86A22" w:rsidTr="000602CA">
        <w:tc>
          <w:tcPr>
            <w:tcW w:w="3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South Asian (n=56)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7.1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8.9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6.0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86A22" w:rsidRPr="00A86A22" w:rsidTr="000602CA">
        <w:tc>
          <w:tcPr>
            <w:tcW w:w="3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Other (n=89)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14.3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9.5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14.4</w:t>
            </w:r>
            <w:r w:rsidR="000602CA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BMI (kg/m</w:t>
            </w:r>
            <w:r w:rsidRPr="00A86A22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A86A2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32.8 ± 7.6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30.0 ± 6.2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32.0 ± 5.8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0.001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Waist circumference (cm)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103.5 ± 19.0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96.2 ± 15.3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101.2 ± 14.0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&lt; 0.001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Urinary albumin  (mg/L)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7.3 ± 5.1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6.0 ± 10.3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18.3 ± 24.6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0.059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Urinary creatinine (mmol/L)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13.8 ± 5.2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8.7 ± 5.1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15.1 ± 6.3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&lt; 0.001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 xml:space="preserve">Microalbumin-to-creatinine ratio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0.6 ± 0.4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1.1 ± 2.8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2.1 ± 8.2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0.08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eGFR (mL/min/1.73m</w:t>
            </w:r>
            <w:r w:rsidRPr="00A86A22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A86A2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97.9 ± 19.3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94.6 ± 14.8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94.8 ± 15.4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0.9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Serum 25(OH)D (nmol/L)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48.1 ± 19.3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56.4 ± 22.0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54.4 ± 22.3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0.046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 xml:space="preserve">Serum creatinine (μmol/L)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73.6 ± 12.2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70.7 ± 13.0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71.7 ± 16.6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0.239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Mean arterial pressure (mmHg)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94.3 ± 10.3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94.9 ± 10.9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97.1 ± 12.2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0.06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Systolic blood pressure (mmHg)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125.0 ± 13.8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124.6 ± 16.2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127.9 ± 16.1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0.02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Diastolic blood pressure (mmHg)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80.1 ± 9.8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78.7 ± 9.5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81.6 ± 11.2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0.001</w:t>
            </w:r>
          </w:p>
        </w:tc>
      </w:tr>
      <w:tr w:rsidR="00A86A22" w:rsidRPr="00A86A22" w:rsidTr="000602CA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Parathyroid hormone (pmol/L)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4.8 ± 1.9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4.4 ± 1.5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4.9 ± 1.8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&lt; 0.001</w:t>
            </w:r>
          </w:p>
        </w:tc>
      </w:tr>
      <w:tr w:rsidR="00A86A22" w:rsidRPr="00A86A22" w:rsidTr="000602CA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Blood glucose (mmol/L)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Fasting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5.4 ± 1.0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5.0 ± 0.9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5.1 ± 0.9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0.2</w:t>
            </w:r>
          </w:p>
        </w:tc>
      </w:tr>
      <w:tr w:rsidR="00A86A22" w:rsidRPr="00A86A22" w:rsidTr="000602CA">
        <w:tc>
          <w:tcPr>
            <w:tcW w:w="3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2h OGTT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6.9 ± 3.6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6.3 ± 2.4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6.6 ± 3.1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0.7</w:t>
            </w:r>
          </w:p>
        </w:tc>
      </w:tr>
      <w:tr w:rsidR="00A86A22" w:rsidRPr="00A86A22" w:rsidTr="000602CA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Glucose tolerance (%)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Normal (n=592)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74.5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81.4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77.6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0.519</w:t>
            </w:r>
          </w:p>
        </w:tc>
      </w:tr>
      <w:tr w:rsidR="00A86A22" w:rsidRPr="00A86A22" w:rsidTr="000602CA">
        <w:tc>
          <w:tcPr>
            <w:tcW w:w="3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Prediabetes (n=32)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3.6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4.5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3.4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86A22" w:rsidRPr="00A86A22" w:rsidTr="000602CA">
        <w:tc>
          <w:tcPr>
            <w:tcW w:w="3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A22" w:rsidRPr="00A86A22" w:rsidRDefault="00A86A22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86A22">
              <w:rPr>
                <w:rFonts w:cs="Times New Roman"/>
                <w:b/>
                <w:sz w:val="24"/>
                <w:szCs w:val="24"/>
              </w:rPr>
              <w:t>Diabetic  (n=124)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21.8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14.1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 w:rsidP="000602C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A86A22">
              <w:rPr>
                <w:rFonts w:cs="Times New Roman"/>
                <w:sz w:val="24"/>
                <w:szCs w:val="24"/>
              </w:rPr>
              <w:t>19.0</w:t>
            </w:r>
          </w:p>
        </w:tc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A22" w:rsidRPr="00A86A22" w:rsidRDefault="00A86A2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86A22" w:rsidRPr="00A86A22" w:rsidRDefault="00A86A22" w:rsidP="005E4DA9">
      <w:pPr>
        <w:rPr>
          <w:rFonts w:asciiTheme="majorHAnsi" w:hAnsiTheme="majorHAnsi" w:cs="Times New Roman"/>
          <w:i/>
          <w:sz w:val="20"/>
          <w:szCs w:val="22"/>
        </w:rPr>
      </w:pPr>
      <w:r>
        <w:rPr>
          <w:rFonts w:asciiTheme="majorHAnsi" w:hAnsiTheme="majorHAnsi" w:cs="Times New Roman"/>
          <w:i/>
          <w:sz w:val="20"/>
        </w:rPr>
        <w:lastRenderedPageBreak/>
        <w:t>Values are reported as mean ± standard deviation. Significance for continuous variables were tested using analysis of variance (ANOVA), and significance for discrete variables were examined using c</w:t>
      </w:r>
      <w:r>
        <w:rPr>
          <w:rFonts w:asciiTheme="majorHAnsi" w:hAnsiTheme="majorHAnsi" w:cs="Times New Roman"/>
          <w:i/>
          <w:sz w:val="20"/>
        </w:rPr>
        <w:t>hi-squared test of independence</w:t>
      </w:r>
      <w:r w:rsidR="000602CA">
        <w:rPr>
          <w:rFonts w:asciiTheme="majorHAnsi" w:hAnsiTheme="majorHAnsi" w:cs="Times New Roman"/>
          <w:i/>
          <w:sz w:val="20"/>
        </w:rPr>
        <w:t>. Hemolysed samples were not removed from analysis.</w:t>
      </w:r>
    </w:p>
    <w:sectPr w:rsidR="00A86A22" w:rsidRPr="00A86A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1A5" w:rsidRDefault="002E31A5">
      <w:pPr>
        <w:spacing w:after="0"/>
      </w:pPr>
      <w:r>
        <w:separator/>
      </w:r>
    </w:p>
  </w:endnote>
  <w:endnote w:type="continuationSeparator" w:id="0">
    <w:p w:rsidR="002E31A5" w:rsidRDefault="002E3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1A5" w:rsidRDefault="002E31A5">
      <w:r>
        <w:separator/>
      </w:r>
    </w:p>
  </w:footnote>
  <w:footnote w:type="continuationSeparator" w:id="0">
    <w:p w:rsidR="002E31A5" w:rsidRDefault="002E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3C7300"/>
    <w:multiLevelType w:val="multilevel"/>
    <w:tmpl w:val="1C4039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2CA"/>
    <w:rsid w:val="002E31A5"/>
    <w:rsid w:val="00317896"/>
    <w:rsid w:val="00321D3E"/>
    <w:rsid w:val="004E29B3"/>
    <w:rsid w:val="00590D07"/>
    <w:rsid w:val="005E4DA9"/>
    <w:rsid w:val="00784D58"/>
    <w:rsid w:val="008D6863"/>
    <w:rsid w:val="00A73C65"/>
    <w:rsid w:val="00A86A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A457"/>
  <w15:docId w15:val="{AD4BBBC0-F9CF-41C2-B124-E113F4CF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  <w:style w:type="table" w:styleId="PlainTable1">
    <w:name w:val="Plain Table 1"/>
    <w:basedOn w:val="TableNormal"/>
    <w:rsid w:val="005E4DA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86A22"/>
    <w:pPr>
      <w:spacing w:after="0"/>
    </w:pPr>
    <w:rPr>
      <w:rFonts w:eastAsiaTheme="minorEastAsia"/>
      <w:sz w:val="22"/>
      <w:szCs w:val="22"/>
      <w:lang w:val="en-CA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1789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17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URINARY EXCRETION OF VITAMIN D BINDING PROTEIN ACROSS VARYING DEGREES OF KIDNEY DYSFUNCTION AND DISGLYCEMIA</vt:lpstr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URINARY EXCRETION OF VITAMIN D BINDING PROTEIN ACROSS VARYING DEGREES OF KIDNEY DYSFUNCTION AND DISGLYCEMIA</dc:title>
  <dc:creator>WINDY WANG</dc:creator>
  <cp:lastModifiedBy>Hanley</cp:lastModifiedBy>
  <cp:revision>2</cp:revision>
  <cp:lastPrinted>2016-05-18T20:46:00Z</cp:lastPrinted>
  <dcterms:created xsi:type="dcterms:W3CDTF">2016-05-18T20:49:00Z</dcterms:created>
  <dcterms:modified xsi:type="dcterms:W3CDTF">2016-05-18T20:49:00Z</dcterms:modified>
</cp:coreProperties>
</file>